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仿宋" w:hAnsi="仿宋" w:eastAsia="仿宋"/>
          <w:kern w:val="44"/>
          <w:sz w:val="36"/>
          <w:szCs w:val="36"/>
        </w:rPr>
      </w:pPr>
      <w:bookmarkStart w:id="0" w:name="_Toc41037441"/>
      <w:r>
        <w:rPr>
          <w:rFonts w:hint="eastAsia" w:ascii="仿宋" w:hAnsi="仿宋" w:eastAsia="仿宋"/>
          <w:kern w:val="44"/>
          <w:sz w:val="36"/>
          <w:szCs w:val="36"/>
        </w:rPr>
        <w:t xml:space="preserve">  湛江市优化营商环境条例</w:t>
      </w:r>
    </w:p>
    <w:p>
      <w:pPr>
        <w:spacing w:line="560" w:lineRule="exact"/>
        <w:jc w:val="center"/>
        <w:rPr>
          <w:rFonts w:ascii="仿宋" w:hAnsi="仿宋" w:eastAsia="仿宋"/>
          <w:kern w:val="44"/>
          <w:sz w:val="36"/>
          <w:szCs w:val="36"/>
        </w:rPr>
      </w:pPr>
      <w:r>
        <w:rPr>
          <w:rFonts w:hint="eastAsia" w:ascii="仿宋" w:hAnsi="仿宋" w:eastAsia="仿宋"/>
          <w:kern w:val="44"/>
          <w:sz w:val="32"/>
          <w:szCs w:val="32"/>
        </w:rPr>
        <w:t>(草案)</w:t>
      </w:r>
    </w:p>
    <w:p>
      <w:pPr>
        <w:spacing w:line="560" w:lineRule="exact"/>
        <w:ind w:firstLine="640" w:firstLineChars="200"/>
        <w:jc w:val="center"/>
        <w:outlineLvl w:val="0"/>
        <w:rPr>
          <w:rFonts w:ascii="仿宋" w:hAnsi="仿宋" w:eastAsia="仿宋" w:cs="黑体"/>
          <w:kern w:val="44"/>
          <w:sz w:val="32"/>
          <w:szCs w:val="32"/>
        </w:rPr>
      </w:pPr>
    </w:p>
    <w:p>
      <w:pPr>
        <w:spacing w:line="560" w:lineRule="exact"/>
        <w:ind w:firstLine="640" w:firstLineChars="200"/>
        <w:jc w:val="center"/>
        <w:outlineLvl w:val="0"/>
        <w:rPr>
          <w:rFonts w:ascii="仿宋" w:hAnsi="仿宋" w:eastAsia="仿宋"/>
          <w:kern w:val="44"/>
          <w:sz w:val="32"/>
          <w:szCs w:val="32"/>
        </w:rPr>
      </w:pPr>
      <w:r>
        <w:rPr>
          <w:rFonts w:hint="eastAsia" w:ascii="仿宋" w:hAnsi="仿宋" w:eastAsia="仿宋" w:cs="黑体"/>
          <w:kern w:val="44"/>
          <w:sz w:val="32"/>
          <w:szCs w:val="32"/>
        </w:rPr>
        <w:t>第一章</w:t>
      </w:r>
      <w:r>
        <w:rPr>
          <w:rFonts w:ascii="仿宋" w:hAnsi="仿宋" w:eastAsia="仿宋" w:cs="黑体"/>
          <w:kern w:val="44"/>
          <w:sz w:val="32"/>
          <w:szCs w:val="32"/>
        </w:rPr>
        <w:t xml:space="preserve">  </w:t>
      </w:r>
      <w:r>
        <w:rPr>
          <w:rFonts w:hint="eastAsia" w:ascii="仿宋" w:hAnsi="仿宋" w:eastAsia="仿宋" w:cs="黑体"/>
          <w:kern w:val="44"/>
          <w:sz w:val="32"/>
          <w:szCs w:val="32"/>
        </w:rPr>
        <w:t>总则</w:t>
      </w:r>
      <w:bookmarkEnd w:id="0"/>
    </w:p>
    <w:p>
      <w:pPr>
        <w:spacing w:line="560" w:lineRule="exact"/>
        <w:ind w:firstLine="640" w:firstLineChars="200"/>
        <w:outlineLvl w:val="0"/>
        <w:rPr>
          <w:rFonts w:ascii="仿宋" w:hAnsi="仿宋" w:eastAsia="仿宋"/>
          <w:kern w:val="44"/>
          <w:sz w:val="32"/>
          <w:szCs w:val="32"/>
        </w:rPr>
      </w:pPr>
      <w:r>
        <w:rPr>
          <w:rFonts w:hint="eastAsia" w:ascii="仿宋" w:hAnsi="仿宋" w:eastAsia="仿宋"/>
          <w:kern w:val="44"/>
          <w:sz w:val="32"/>
          <w:szCs w:val="32"/>
        </w:rPr>
        <w:t xml:space="preserve"> </w:t>
      </w:r>
    </w:p>
    <w:p>
      <w:pPr>
        <w:spacing w:line="560" w:lineRule="exact"/>
        <w:ind w:firstLine="640" w:firstLineChars="200"/>
        <w:outlineLvl w:val="1"/>
        <w:rPr>
          <w:rFonts w:ascii="仿宋" w:hAnsi="仿宋" w:eastAsia="仿宋"/>
          <w:sz w:val="32"/>
          <w:szCs w:val="32"/>
        </w:rPr>
      </w:pPr>
      <w:bookmarkStart w:id="1" w:name="_Toc37955890"/>
      <w:bookmarkStart w:id="2" w:name="_Toc218571314"/>
      <w:bookmarkStart w:id="3" w:name="_Toc41037442"/>
      <w:bookmarkStart w:id="4" w:name="_Toc37968436"/>
      <w:r>
        <w:rPr>
          <w:rFonts w:hint="eastAsia" w:ascii="仿宋" w:hAnsi="仿宋" w:eastAsia="仿宋" w:cs="黑体"/>
          <w:sz w:val="32"/>
          <w:szCs w:val="32"/>
        </w:rPr>
        <w:t>第一条【目的和依据】</w:t>
      </w:r>
      <w:bookmarkEnd w:id="1"/>
      <w:bookmarkEnd w:id="2"/>
      <w:bookmarkEnd w:id="3"/>
      <w:bookmarkEnd w:id="4"/>
    </w:p>
    <w:p>
      <w:pPr>
        <w:spacing w:line="560" w:lineRule="exact"/>
        <w:ind w:firstLine="640" w:firstLineChars="200"/>
        <w:rPr>
          <w:rFonts w:ascii="仿宋" w:hAnsi="仿宋" w:eastAsia="仿宋" w:cs="仿宋_GB2312"/>
          <w:sz w:val="32"/>
          <w:szCs w:val="32"/>
        </w:rPr>
      </w:pPr>
      <w:r>
        <w:rPr>
          <w:rFonts w:hint="eastAsia" w:ascii="仿宋" w:hAnsi="仿宋" w:eastAsia="仿宋" w:cs="仿宋_GB2312"/>
          <w:bCs/>
          <w:sz w:val="32"/>
          <w:szCs w:val="32"/>
        </w:rPr>
        <w:t>为推动湛江市建设成为省域副中心城市，加快打造现代化沿海经济带重要发展极，</w:t>
      </w:r>
      <w:r>
        <w:rPr>
          <w:rFonts w:hint="eastAsia" w:ascii="仿宋" w:hAnsi="仿宋" w:eastAsia="仿宋" w:cs="仿宋_GB2312"/>
          <w:sz w:val="32"/>
          <w:szCs w:val="32"/>
        </w:rPr>
        <w:t>根据国务院《优化营商环境条例》等法律法规，结合本市实际，制定本条例。</w:t>
      </w:r>
    </w:p>
    <w:p>
      <w:pPr>
        <w:spacing w:line="560" w:lineRule="exact"/>
        <w:ind w:firstLine="640" w:firstLineChars="200"/>
        <w:rPr>
          <w:rFonts w:ascii="仿宋" w:hAnsi="仿宋" w:eastAsia="仿宋" w:cs="仿宋_GB2312"/>
          <w:sz w:val="32"/>
          <w:szCs w:val="32"/>
        </w:rPr>
      </w:pPr>
      <w:bookmarkStart w:id="5" w:name="_Toc37955891"/>
      <w:bookmarkStart w:id="6" w:name="_Toc218571315"/>
      <w:bookmarkStart w:id="7" w:name="_Toc41037443"/>
      <w:bookmarkStart w:id="8" w:name="_Toc37968437"/>
      <w:r>
        <w:rPr>
          <w:rFonts w:hint="eastAsia" w:ascii="仿宋" w:hAnsi="仿宋" w:eastAsia="仿宋" w:cs="仿宋_GB2312"/>
          <w:sz w:val="32"/>
          <w:szCs w:val="32"/>
        </w:rPr>
        <w:t>第二条【适用范围】</w:t>
      </w:r>
      <w:bookmarkEnd w:id="5"/>
      <w:bookmarkEnd w:id="6"/>
      <w:bookmarkEnd w:id="7"/>
      <w:bookmarkEnd w:id="8"/>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本市行政区域内优化营商环境工作适用本条例。</w:t>
      </w:r>
    </w:p>
    <w:p>
      <w:pPr>
        <w:spacing w:line="560" w:lineRule="exact"/>
        <w:ind w:firstLine="640" w:firstLineChars="200"/>
        <w:outlineLvl w:val="1"/>
        <w:rPr>
          <w:rFonts w:ascii="仿宋" w:hAnsi="仿宋" w:eastAsia="仿宋"/>
          <w:sz w:val="32"/>
          <w:szCs w:val="32"/>
        </w:rPr>
      </w:pPr>
      <w:bookmarkStart w:id="9" w:name="_Toc37955892"/>
      <w:bookmarkStart w:id="10" w:name="_Toc218571316"/>
      <w:bookmarkStart w:id="11" w:name="_Toc37968438"/>
      <w:bookmarkStart w:id="12" w:name="_Toc41037444"/>
      <w:r>
        <w:rPr>
          <w:rFonts w:hint="eastAsia" w:ascii="仿宋" w:hAnsi="仿宋" w:eastAsia="仿宋" w:cs="黑体"/>
          <w:sz w:val="32"/>
          <w:szCs w:val="32"/>
        </w:rPr>
        <w:t>第三条【基本原则】</w:t>
      </w:r>
      <w:bookmarkEnd w:id="9"/>
      <w:bookmarkEnd w:id="10"/>
      <w:bookmarkEnd w:id="11"/>
      <w:bookmarkEnd w:id="12"/>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遵循市场化、法治化、国际化原则，构建政策稳定可预期、规则公开透明、监管公平公正、服务便利高效，各类市场主体合法权益依法保护的营商环境。</w:t>
      </w:r>
    </w:p>
    <w:p>
      <w:pPr>
        <w:spacing w:line="560" w:lineRule="exact"/>
        <w:ind w:firstLine="640" w:firstLineChars="200"/>
        <w:outlineLvl w:val="1"/>
        <w:rPr>
          <w:rFonts w:ascii="仿宋" w:hAnsi="仿宋" w:eastAsia="仿宋"/>
          <w:sz w:val="32"/>
          <w:szCs w:val="32"/>
        </w:rPr>
      </w:pPr>
      <w:bookmarkStart w:id="13" w:name="_Toc41037445"/>
      <w:bookmarkStart w:id="14" w:name="_Toc218571317"/>
      <w:bookmarkStart w:id="15" w:name="_Toc37968439"/>
      <w:bookmarkStart w:id="16" w:name="_Toc37955893"/>
      <w:r>
        <w:rPr>
          <w:rFonts w:hint="eastAsia" w:ascii="仿宋" w:hAnsi="仿宋" w:eastAsia="仿宋" w:cs="黑体"/>
          <w:sz w:val="32"/>
          <w:szCs w:val="32"/>
        </w:rPr>
        <w:t>第四条【工作职责】</w:t>
      </w:r>
      <w:bookmarkEnd w:id="13"/>
      <w:bookmarkEnd w:id="14"/>
      <w:bookmarkEnd w:id="15"/>
      <w:bookmarkEnd w:id="16"/>
    </w:p>
    <w:p>
      <w:pPr>
        <w:spacing w:line="560" w:lineRule="exact"/>
        <w:ind w:firstLine="640" w:firstLineChars="200"/>
        <w:rPr>
          <w:rFonts w:ascii="仿宋" w:hAnsi="仿宋" w:eastAsia="仿宋"/>
          <w:bCs/>
          <w:sz w:val="32"/>
          <w:szCs w:val="32"/>
        </w:rPr>
      </w:pPr>
      <w:r>
        <w:rPr>
          <w:rFonts w:hint="eastAsia" w:ascii="仿宋" w:hAnsi="仿宋" w:eastAsia="仿宋" w:cs="仿宋_GB2312"/>
          <w:sz w:val="32"/>
          <w:szCs w:val="32"/>
        </w:rPr>
        <w:t>市、</w:t>
      </w:r>
      <w:bookmarkStart w:id="205" w:name="_GoBack"/>
      <w:bookmarkEnd w:id="205"/>
      <w:r>
        <w:rPr>
          <w:rFonts w:hint="eastAsia" w:ascii="仿宋" w:hAnsi="仿宋" w:eastAsia="仿宋" w:cs="仿宋_GB2312"/>
          <w:sz w:val="32"/>
          <w:szCs w:val="32"/>
          <w:lang w:eastAsia="zh-CN"/>
        </w:rPr>
        <w:t>县（</w:t>
      </w:r>
      <w:r>
        <w:rPr>
          <w:rFonts w:hint="eastAsia" w:ascii="仿宋" w:hAnsi="仿宋" w:eastAsia="仿宋" w:cs="仿宋_GB2312"/>
          <w:sz w:val="32"/>
          <w:szCs w:val="32"/>
        </w:rPr>
        <w:t>市</w:t>
      </w:r>
      <w:r>
        <w:rPr>
          <w:rFonts w:hint="eastAsia" w:ascii="仿宋" w:hAnsi="仿宋" w:eastAsia="仿宋" w:cs="仿宋_GB2312"/>
          <w:sz w:val="32"/>
          <w:szCs w:val="32"/>
          <w:lang w:eastAsia="zh-CN"/>
        </w:rPr>
        <w:t>、</w:t>
      </w:r>
      <w:r>
        <w:rPr>
          <w:rFonts w:hint="eastAsia" w:ascii="仿宋" w:hAnsi="仿宋" w:eastAsia="仿宋" w:cs="仿宋_GB2312"/>
          <w:sz w:val="32"/>
          <w:szCs w:val="32"/>
        </w:rPr>
        <w:t>区</w:t>
      </w:r>
      <w:r>
        <w:rPr>
          <w:rFonts w:hint="eastAsia" w:ascii="仿宋" w:hAnsi="仿宋" w:eastAsia="仿宋" w:cs="仿宋_GB2312"/>
          <w:sz w:val="32"/>
          <w:szCs w:val="32"/>
          <w:lang w:eastAsia="zh-CN"/>
        </w:rPr>
        <w:t>）</w:t>
      </w:r>
      <w:r>
        <w:rPr>
          <w:rFonts w:hint="eastAsia" w:ascii="仿宋" w:hAnsi="仿宋" w:eastAsia="仿宋" w:cs="仿宋_GB2312"/>
          <w:sz w:val="32"/>
          <w:szCs w:val="32"/>
        </w:rPr>
        <w:t>人民政府应当加强对本行政区域优化营商环境工作的组织领导，完善政策措施，及时协调解决营商环境工作中存在的重大问题。各级</w:t>
      </w:r>
      <w:r>
        <w:rPr>
          <w:rFonts w:hint="eastAsia" w:ascii="仿宋" w:hAnsi="仿宋" w:eastAsia="仿宋" w:cs="仿宋_GB2312"/>
          <w:bCs/>
          <w:sz w:val="32"/>
          <w:szCs w:val="32"/>
        </w:rPr>
        <w:t>政府主要负责人是优化营商环境的第一责任人。</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市发展改革部门是优化营商环境工作的主管部门，负责督促、协调、推进优化营商环境工作，组织开展营商环境评价和监督管理工作。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lang w:eastAsia="zh-CN"/>
        </w:rPr>
        <w:t>县（市、区）</w:t>
      </w:r>
      <w:r>
        <w:rPr>
          <w:rFonts w:hint="eastAsia" w:ascii="仿宋" w:hAnsi="仿宋" w:eastAsia="仿宋" w:cs="仿宋_GB2312"/>
          <w:sz w:val="32"/>
          <w:szCs w:val="32"/>
        </w:rPr>
        <w:t>人民政府和有关驻湛单位按照各自职责开展优化营商环境相关工作。</w:t>
      </w:r>
    </w:p>
    <w:p>
      <w:pPr>
        <w:spacing w:line="560" w:lineRule="exact"/>
        <w:ind w:firstLine="640" w:firstLineChars="200"/>
        <w:outlineLvl w:val="1"/>
        <w:rPr>
          <w:rFonts w:ascii="仿宋" w:hAnsi="仿宋" w:eastAsia="仿宋"/>
          <w:sz w:val="32"/>
          <w:szCs w:val="32"/>
        </w:rPr>
      </w:pPr>
      <w:bookmarkStart w:id="17" w:name="_Toc37968440"/>
      <w:bookmarkStart w:id="18" w:name="_Toc41037446"/>
      <w:bookmarkStart w:id="19" w:name="_Toc37955894"/>
      <w:bookmarkStart w:id="20" w:name="_Toc218571318"/>
      <w:r>
        <w:rPr>
          <w:rFonts w:hint="eastAsia" w:ascii="仿宋" w:hAnsi="仿宋" w:eastAsia="仿宋" w:cs="黑体"/>
          <w:sz w:val="32"/>
          <w:szCs w:val="32"/>
        </w:rPr>
        <w:t>第五条【鼓励创新】</w:t>
      </w:r>
      <w:bookmarkEnd w:id="17"/>
      <w:bookmarkEnd w:id="18"/>
      <w:bookmarkEnd w:id="19"/>
      <w:bookmarkEnd w:id="20"/>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本市建立鼓励改革创新、宽容失败的激励机制和容错免责机制。对在优化营商环境工作中作出显著成绩的单位和个人，按照有关规定给予表扬、表彰和奖励。</w:t>
      </w:r>
    </w:p>
    <w:p>
      <w:pPr>
        <w:spacing w:line="560" w:lineRule="exact"/>
        <w:ind w:firstLine="640" w:firstLineChars="200"/>
        <w:outlineLvl w:val="1"/>
        <w:rPr>
          <w:rFonts w:ascii="仿宋" w:hAnsi="仿宋" w:eastAsia="仿宋"/>
          <w:sz w:val="32"/>
          <w:szCs w:val="32"/>
        </w:rPr>
      </w:pPr>
      <w:bookmarkStart w:id="21" w:name="_Toc218571319"/>
      <w:bookmarkStart w:id="22" w:name="_Toc37955895"/>
      <w:bookmarkStart w:id="23" w:name="_Toc41037447"/>
      <w:bookmarkStart w:id="24" w:name="_Toc37968441"/>
      <w:r>
        <w:rPr>
          <w:rFonts w:hint="eastAsia" w:ascii="仿宋" w:hAnsi="仿宋" w:eastAsia="仿宋" w:cs="黑体"/>
          <w:sz w:val="32"/>
          <w:szCs w:val="32"/>
        </w:rPr>
        <w:t>第六条</w:t>
      </w:r>
      <w:bookmarkEnd w:id="21"/>
      <w:r>
        <w:rPr>
          <w:rFonts w:hint="eastAsia" w:ascii="仿宋" w:hAnsi="仿宋" w:eastAsia="仿宋" w:cs="黑体"/>
          <w:sz w:val="32"/>
          <w:szCs w:val="32"/>
        </w:rPr>
        <w:t>【区域协同发展】</w:t>
      </w:r>
      <w:bookmarkEnd w:id="22"/>
      <w:bookmarkEnd w:id="23"/>
      <w:bookmarkEnd w:id="24"/>
    </w:p>
    <w:p>
      <w:pPr>
        <w:spacing w:line="560" w:lineRule="exact"/>
        <w:ind w:firstLine="640" w:firstLineChars="200"/>
        <w:rPr>
          <w:rFonts w:ascii="仿宋" w:hAnsi="仿宋" w:eastAsia="仿宋" w:cs="仿宋_GB2312"/>
          <w:sz w:val="32"/>
          <w:szCs w:val="32"/>
        </w:rPr>
      </w:pPr>
      <w:r>
        <w:rPr>
          <w:rFonts w:hint="eastAsia" w:ascii="仿宋" w:hAnsi="仿宋" w:eastAsia="仿宋" w:cs="仿宋_GB2312"/>
          <w:bCs/>
          <w:sz w:val="32"/>
          <w:szCs w:val="32"/>
        </w:rPr>
        <w:t>加强与西部陆海新通道与粤港澳大湾区、海南自由贸易港等国家战略衔接，实现与湛茂都市圈城市的协同驱动，全面提升都市圈城镇化发展质量和城乡融合水平，增强都市圈综合承载能力和辐射带动作用，努力打造现代化沿海经济带重要发展极</w:t>
      </w:r>
      <w:r>
        <w:rPr>
          <w:rFonts w:hint="eastAsia" w:ascii="仿宋" w:hAnsi="仿宋" w:eastAsia="仿宋" w:cs="仿宋_GB2312"/>
          <w:sz w:val="32"/>
          <w:szCs w:val="32"/>
        </w:rPr>
        <w:t>。</w:t>
      </w:r>
    </w:p>
    <w:p>
      <w:pPr>
        <w:spacing w:line="560" w:lineRule="exact"/>
        <w:ind w:firstLine="640" w:firstLineChars="200"/>
        <w:outlineLvl w:val="1"/>
        <w:rPr>
          <w:rFonts w:ascii="仿宋" w:hAnsi="仿宋" w:eastAsia="仿宋"/>
          <w:sz w:val="32"/>
          <w:szCs w:val="32"/>
        </w:rPr>
      </w:pPr>
      <w:bookmarkStart w:id="25" w:name="_Toc218571320"/>
      <w:bookmarkStart w:id="26" w:name="_Toc41037448"/>
      <w:bookmarkStart w:id="27" w:name="_Toc37955896"/>
      <w:bookmarkStart w:id="28" w:name="_Toc37968442"/>
      <w:r>
        <w:rPr>
          <w:rFonts w:hint="eastAsia" w:ascii="仿宋" w:hAnsi="仿宋" w:eastAsia="仿宋" w:cs="黑体"/>
          <w:sz w:val="32"/>
          <w:szCs w:val="32"/>
        </w:rPr>
        <w:t>第七条</w:t>
      </w:r>
      <w:bookmarkEnd w:id="25"/>
      <w:r>
        <w:rPr>
          <w:rFonts w:hint="eastAsia" w:ascii="仿宋" w:hAnsi="仿宋" w:eastAsia="仿宋" w:cs="黑体"/>
          <w:sz w:val="32"/>
          <w:szCs w:val="32"/>
        </w:rPr>
        <w:t>【健全政企沟通机制】</w:t>
      </w:r>
      <w:bookmarkEnd w:id="26"/>
      <w:bookmarkEnd w:id="27"/>
      <w:bookmarkEnd w:id="28"/>
    </w:p>
    <w:p>
      <w:pPr>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本市健全政企沟通机制，构建亲清政商关系，采取多种方式及时听取市场主体的意见和诉求，保障市场主体正常开展生产经营活动。</w:t>
      </w:r>
      <w:r>
        <w:rPr>
          <w:rFonts w:hint="eastAsia" w:ascii="仿宋" w:hAnsi="仿宋" w:eastAsia="仿宋" w:cs="仿宋_GB2312"/>
          <w:sz w:val="32"/>
          <w:szCs w:val="32"/>
        </w:rPr>
        <w:t>共同营造和谐健康、友好有序的营商环境。</w:t>
      </w:r>
    </w:p>
    <w:p>
      <w:pPr>
        <w:spacing w:line="560" w:lineRule="exact"/>
        <w:ind w:firstLine="640" w:firstLineChars="200"/>
        <w:outlineLvl w:val="1"/>
        <w:rPr>
          <w:rFonts w:ascii="仿宋" w:hAnsi="仿宋" w:eastAsia="仿宋"/>
          <w:sz w:val="32"/>
          <w:szCs w:val="32"/>
        </w:rPr>
      </w:pPr>
      <w:bookmarkStart w:id="29" w:name="_Toc218571321"/>
      <w:bookmarkStart w:id="30" w:name="_Toc37955897"/>
      <w:bookmarkStart w:id="31" w:name="_Toc41037449"/>
      <w:bookmarkStart w:id="32" w:name="_Toc37968443"/>
      <w:bookmarkStart w:id="33" w:name="_Toc36984158"/>
      <w:r>
        <w:rPr>
          <w:rFonts w:hint="eastAsia" w:ascii="仿宋" w:hAnsi="仿宋" w:eastAsia="仿宋" w:cs="黑体"/>
          <w:sz w:val="32"/>
          <w:szCs w:val="32"/>
        </w:rPr>
        <w:t>第八条【</w:t>
      </w:r>
      <w:r>
        <w:rPr>
          <w:rFonts w:hint="eastAsia" w:ascii="仿宋" w:hAnsi="仿宋" w:eastAsia="仿宋" w:cs="仿宋_GB2312"/>
          <w:sz w:val="32"/>
          <w:szCs w:val="32"/>
        </w:rPr>
        <w:t>营商环境评价</w:t>
      </w:r>
      <w:r>
        <w:rPr>
          <w:rFonts w:hint="eastAsia" w:ascii="仿宋" w:hAnsi="仿宋" w:eastAsia="仿宋" w:cs="黑体"/>
          <w:sz w:val="32"/>
          <w:szCs w:val="32"/>
        </w:rPr>
        <w:t>】</w:t>
      </w:r>
      <w:bookmarkEnd w:id="29"/>
      <w:bookmarkEnd w:id="30"/>
      <w:bookmarkEnd w:id="31"/>
      <w:bookmarkEnd w:id="32"/>
      <w:bookmarkEnd w:id="33"/>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本市按照国家营商环境评价体系要求，以市场主体和社会公众满意度为导向推进优化营商环境改革，发挥国家营商环境评价体系对优化营商环境的引领和督促作用，及时调整完善优化营商环境的政策措施。</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本市鼓励建立优化营商环境第三方评价机制，由独立第三方社会机构评价市、</w:t>
      </w:r>
      <w:r>
        <w:rPr>
          <w:rFonts w:hint="eastAsia" w:ascii="仿宋" w:hAnsi="仿宋" w:eastAsia="仿宋" w:cs="仿宋_GB2312"/>
          <w:sz w:val="32"/>
          <w:szCs w:val="32"/>
          <w:lang w:eastAsia="zh-CN"/>
        </w:rPr>
        <w:t>县（市、区）</w:t>
      </w:r>
      <w:r>
        <w:rPr>
          <w:rFonts w:hint="eastAsia" w:ascii="仿宋" w:hAnsi="仿宋" w:eastAsia="仿宋" w:cs="仿宋_GB2312"/>
          <w:sz w:val="32"/>
          <w:szCs w:val="32"/>
        </w:rPr>
        <w:t>人民政府及其部门的优化营商环境贡献度。</w:t>
      </w:r>
    </w:p>
    <w:p>
      <w:pPr>
        <w:spacing w:line="560" w:lineRule="exact"/>
        <w:ind w:firstLine="640" w:firstLineChars="200"/>
        <w:outlineLvl w:val="1"/>
        <w:rPr>
          <w:rFonts w:ascii="仿宋" w:hAnsi="仿宋" w:eastAsia="仿宋"/>
          <w:sz w:val="32"/>
          <w:szCs w:val="32"/>
        </w:rPr>
      </w:pPr>
      <w:bookmarkStart w:id="34" w:name="_Toc41037450"/>
      <w:r>
        <w:rPr>
          <w:rFonts w:hint="eastAsia" w:ascii="仿宋" w:hAnsi="仿宋" w:eastAsia="仿宋" w:cs="黑体"/>
          <w:sz w:val="32"/>
          <w:szCs w:val="32"/>
        </w:rPr>
        <w:t>第九条</w:t>
      </w:r>
      <w:r>
        <w:rPr>
          <w:rFonts w:ascii="仿宋" w:hAnsi="仿宋" w:eastAsia="仿宋" w:cs="黑体"/>
          <w:sz w:val="32"/>
          <w:szCs w:val="32"/>
        </w:rPr>
        <w:t xml:space="preserve"> </w:t>
      </w:r>
      <w:r>
        <w:rPr>
          <w:rFonts w:hint="eastAsia" w:ascii="仿宋" w:hAnsi="仿宋" w:eastAsia="仿宋" w:cs="黑体"/>
          <w:sz w:val="32"/>
          <w:szCs w:val="32"/>
        </w:rPr>
        <w:t>【舆论宣传】</w:t>
      </w:r>
      <w:bookmarkEnd w:id="34"/>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本市通过多元途径，宣传优化营商环境的法律法规、规章政策，完善法治宣传教育考核体系，支持新闻媒体客观、公正地对营商环境进行舆论监督，建立舆情收集和回应机制，营造公平公正的营商舆论氛围。</w:t>
      </w:r>
    </w:p>
    <w:p>
      <w:pPr>
        <w:spacing w:line="560" w:lineRule="exact"/>
        <w:ind w:firstLine="640" w:firstLineChars="200"/>
        <w:outlineLvl w:val="1"/>
        <w:rPr>
          <w:rFonts w:ascii="仿宋" w:hAnsi="仿宋" w:eastAsia="仿宋"/>
          <w:bCs/>
          <w:sz w:val="32"/>
          <w:szCs w:val="32"/>
        </w:rPr>
      </w:pPr>
      <w:r>
        <w:rPr>
          <w:rFonts w:hint="eastAsia" w:ascii="仿宋" w:hAnsi="仿宋" w:eastAsia="仿宋" w:cs="黑体"/>
          <w:bCs/>
          <w:sz w:val="32"/>
          <w:szCs w:val="32"/>
        </w:rPr>
        <w:t>第十条</w:t>
      </w:r>
      <w:r>
        <w:rPr>
          <w:rFonts w:ascii="仿宋" w:hAnsi="仿宋" w:eastAsia="仿宋" w:cs="黑体"/>
          <w:bCs/>
          <w:sz w:val="32"/>
          <w:szCs w:val="32"/>
        </w:rPr>
        <w:t xml:space="preserve"> </w:t>
      </w:r>
      <w:r>
        <w:rPr>
          <w:rFonts w:hint="eastAsia" w:ascii="仿宋" w:hAnsi="仿宋" w:eastAsia="仿宋" w:cs="黑体"/>
          <w:bCs/>
          <w:sz w:val="32"/>
          <w:szCs w:val="32"/>
        </w:rPr>
        <w:t>【营商环境日】</w:t>
      </w:r>
    </w:p>
    <w:p>
      <w:pPr>
        <w:spacing w:line="560" w:lineRule="exact"/>
        <w:ind w:firstLine="640" w:firstLineChars="200"/>
        <w:rPr>
          <w:rFonts w:ascii="仿宋" w:hAnsi="仿宋" w:eastAsia="仿宋" w:cs="仿宋_GB2312"/>
          <w:bCs/>
          <w:sz w:val="32"/>
          <w:szCs w:val="32"/>
        </w:rPr>
      </w:pPr>
      <w:r>
        <w:rPr>
          <w:rFonts w:hint="eastAsia" w:ascii="仿宋" w:hAnsi="仿宋" w:eastAsia="仿宋" w:cs="仿宋_GB2312"/>
          <w:bCs/>
          <w:sz w:val="32"/>
          <w:szCs w:val="32"/>
        </w:rPr>
        <w:t>每年12月3日为营商环境日，</w:t>
      </w:r>
      <w:r>
        <w:rPr>
          <w:rFonts w:hint="eastAsia" w:ascii="仿宋" w:hAnsi="仿宋" w:eastAsia="仿宋" w:cs="仿宋_GB2312"/>
          <w:sz w:val="32"/>
          <w:szCs w:val="32"/>
        </w:rPr>
        <w:t>引导市场主体合法合规经营、依法维护自身合法权益，推动政府和全社会树立优化营商环境</w:t>
      </w:r>
      <w:r>
        <w:rPr>
          <w:rFonts w:ascii="仿宋" w:hAnsi="仿宋" w:eastAsia="仿宋" w:cs="仿宋_GB2312"/>
          <w:sz w:val="32"/>
          <w:szCs w:val="32"/>
        </w:rPr>
        <w:t>的</w:t>
      </w:r>
      <w:r>
        <w:rPr>
          <w:rFonts w:hint="eastAsia" w:ascii="仿宋" w:hAnsi="仿宋" w:eastAsia="仿宋" w:cs="仿宋_GB2312"/>
          <w:sz w:val="32"/>
          <w:szCs w:val="32"/>
        </w:rPr>
        <w:t>意识。</w:t>
      </w:r>
    </w:p>
    <w:p>
      <w:pPr>
        <w:spacing w:line="560" w:lineRule="exact"/>
        <w:ind w:firstLine="640" w:firstLineChars="200"/>
        <w:jc w:val="center"/>
        <w:outlineLvl w:val="0"/>
        <w:rPr>
          <w:rFonts w:ascii="仿宋" w:hAnsi="仿宋" w:eastAsia="仿宋" w:cs="黑体"/>
          <w:kern w:val="44"/>
          <w:sz w:val="32"/>
          <w:szCs w:val="32"/>
        </w:rPr>
      </w:pPr>
      <w:bookmarkStart w:id="35" w:name="_Toc37955898"/>
      <w:bookmarkStart w:id="36" w:name="_Toc218571323"/>
      <w:bookmarkStart w:id="37" w:name="_Toc41037451"/>
      <w:bookmarkStart w:id="38" w:name="_Toc37968444"/>
    </w:p>
    <w:p>
      <w:pPr>
        <w:spacing w:line="560" w:lineRule="exact"/>
        <w:ind w:firstLine="640" w:firstLineChars="200"/>
        <w:jc w:val="center"/>
        <w:outlineLvl w:val="0"/>
        <w:rPr>
          <w:rFonts w:ascii="仿宋" w:hAnsi="仿宋" w:eastAsia="仿宋"/>
          <w:kern w:val="44"/>
          <w:sz w:val="32"/>
          <w:szCs w:val="32"/>
        </w:rPr>
      </w:pPr>
      <w:r>
        <w:rPr>
          <w:rFonts w:hint="eastAsia" w:ascii="仿宋" w:hAnsi="仿宋" w:eastAsia="仿宋" w:cs="黑体"/>
          <w:kern w:val="44"/>
          <w:sz w:val="32"/>
          <w:szCs w:val="32"/>
        </w:rPr>
        <w:t>第二章</w:t>
      </w:r>
      <w:r>
        <w:rPr>
          <w:rFonts w:ascii="仿宋" w:hAnsi="仿宋" w:eastAsia="仿宋" w:cs="黑体"/>
          <w:kern w:val="44"/>
          <w:sz w:val="32"/>
          <w:szCs w:val="32"/>
        </w:rPr>
        <w:t xml:space="preserve"> </w:t>
      </w:r>
      <w:r>
        <w:rPr>
          <w:rFonts w:hint="eastAsia" w:ascii="仿宋" w:hAnsi="仿宋" w:eastAsia="仿宋" w:cs="黑体"/>
          <w:kern w:val="44"/>
          <w:sz w:val="32"/>
          <w:szCs w:val="32"/>
        </w:rPr>
        <w:t>市场</w:t>
      </w:r>
      <w:bookmarkEnd w:id="35"/>
      <w:bookmarkEnd w:id="36"/>
      <w:r>
        <w:rPr>
          <w:rFonts w:hint="eastAsia" w:ascii="仿宋" w:hAnsi="仿宋" w:eastAsia="仿宋" w:cs="黑体"/>
          <w:kern w:val="44"/>
          <w:sz w:val="32"/>
          <w:szCs w:val="32"/>
        </w:rPr>
        <w:t>活力</w:t>
      </w:r>
      <w:bookmarkEnd w:id="37"/>
      <w:bookmarkEnd w:id="38"/>
    </w:p>
    <w:p>
      <w:pPr>
        <w:spacing w:line="560" w:lineRule="exact"/>
        <w:ind w:firstLine="640" w:firstLineChars="200"/>
        <w:outlineLvl w:val="1"/>
        <w:rPr>
          <w:rFonts w:ascii="仿宋" w:hAnsi="仿宋" w:eastAsia="仿宋"/>
          <w:sz w:val="32"/>
          <w:szCs w:val="32"/>
        </w:rPr>
      </w:pPr>
      <w:bookmarkStart w:id="39" w:name="_Toc218571324"/>
    </w:p>
    <w:p>
      <w:pPr>
        <w:spacing w:line="560" w:lineRule="exact"/>
        <w:ind w:firstLine="640" w:firstLineChars="200"/>
        <w:outlineLvl w:val="1"/>
        <w:rPr>
          <w:rFonts w:ascii="仿宋" w:hAnsi="仿宋" w:eastAsia="仿宋"/>
          <w:sz w:val="32"/>
          <w:szCs w:val="32"/>
        </w:rPr>
      </w:pPr>
      <w:bookmarkStart w:id="40" w:name="_Toc37968445"/>
      <w:bookmarkStart w:id="41" w:name="_Toc37955899"/>
      <w:bookmarkStart w:id="42" w:name="_Toc41037452"/>
      <w:r>
        <w:rPr>
          <w:rFonts w:hint="eastAsia" w:ascii="仿宋" w:hAnsi="仿宋" w:eastAsia="仿宋" w:cs="黑体"/>
          <w:sz w:val="32"/>
          <w:szCs w:val="32"/>
        </w:rPr>
        <w:t>第十一条</w:t>
      </w:r>
      <w:bookmarkEnd w:id="39"/>
      <w:bookmarkEnd w:id="40"/>
      <w:bookmarkEnd w:id="41"/>
      <w:bookmarkStart w:id="43" w:name="_Toc40466255"/>
      <w:bookmarkStart w:id="44" w:name="_Toc37955901"/>
      <w:bookmarkStart w:id="45" w:name="_Toc37968447"/>
      <w:bookmarkStart w:id="46" w:name="_Toc218571326"/>
      <w:r>
        <w:rPr>
          <w:rFonts w:hint="eastAsia" w:ascii="仿宋" w:hAnsi="仿宋" w:eastAsia="仿宋" w:cs="黑体"/>
          <w:sz w:val="32"/>
          <w:szCs w:val="32"/>
        </w:rPr>
        <w:t>【市场准入】</w:t>
      </w:r>
      <w:bookmarkEnd w:id="42"/>
      <w:bookmarkEnd w:id="43"/>
    </w:p>
    <w:p>
      <w:pPr>
        <w:shd w:val="clear" w:color="auto" w:fill="FFFFFF"/>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w:t>
      </w:r>
      <w:r>
        <w:rPr>
          <w:rFonts w:ascii="仿宋" w:hAnsi="仿宋" w:eastAsia="仿宋" w:cs="仿宋_GB2312"/>
          <w:sz w:val="32"/>
          <w:szCs w:val="32"/>
        </w:rPr>
        <w:t>实行统一的市场准入和市场监管制度，保护市场主体的合法权益，反对垄断和不正当竞争</w:t>
      </w:r>
      <w:r>
        <w:rPr>
          <w:rFonts w:hint="eastAsia" w:ascii="仿宋" w:hAnsi="仿宋" w:eastAsia="仿宋" w:cs="仿宋_GB2312"/>
          <w:sz w:val="32"/>
          <w:szCs w:val="32"/>
        </w:rPr>
        <w:t>。市场准入实行国家统一的市场准入负面清单制度，各类市场主体均可以依法平等进入负面清单以外的行业或领域。</w:t>
      </w:r>
    </w:p>
    <w:p>
      <w:pPr>
        <w:spacing w:line="560" w:lineRule="exact"/>
        <w:ind w:firstLine="640" w:firstLineChars="200"/>
        <w:outlineLvl w:val="1"/>
        <w:rPr>
          <w:rFonts w:ascii="仿宋" w:hAnsi="仿宋" w:eastAsia="仿宋"/>
          <w:sz w:val="32"/>
          <w:szCs w:val="32"/>
        </w:rPr>
      </w:pPr>
      <w:bookmarkStart w:id="47" w:name="_Toc41037454"/>
      <w:r>
        <w:rPr>
          <w:rFonts w:hint="eastAsia" w:ascii="仿宋" w:hAnsi="仿宋" w:eastAsia="仿宋" w:cs="黑体"/>
          <w:sz w:val="32"/>
          <w:szCs w:val="32"/>
        </w:rPr>
        <w:t>第十二条【开办企业】</w:t>
      </w:r>
      <w:bookmarkEnd w:id="44"/>
      <w:bookmarkEnd w:id="45"/>
      <w:bookmarkEnd w:id="46"/>
      <w:bookmarkEnd w:id="47"/>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市场监督管理等部门应当优化企业准入服务，提升开办企业便利度，放宽企业名称核准限制，推行企业登记全程电子化</w:t>
      </w:r>
      <w:r>
        <w:rPr>
          <w:rFonts w:hint="eastAsia" w:ascii="楷体_GB2312" w:hAnsi="楷体_GB2312" w:eastAsia="楷体_GB2312" w:cs="楷体_GB2312"/>
          <w:sz w:val="24"/>
        </w:rPr>
        <w:t>。</w:t>
      </w:r>
    </w:p>
    <w:p>
      <w:pPr>
        <w:spacing w:line="56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本市推行开办企业“一网通办、一窗通取”模式，申请人可以通过开办企业一网通平台一次性申请办理开办企业涉及业务，在政务服务大厅“一窗通取”专窗领取营业执照、印章、发票等。</w:t>
      </w:r>
    </w:p>
    <w:p>
      <w:pPr>
        <w:spacing w:line="56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申请材料齐全、符合法定形式的，相关部门应当当场办结；对非关键性申请材料存在错漏但已承诺按期补正的，企业登记机关可以容缺登记。申请人提供虚假材料申请登记或者备案的，应当依法承担相应法律责任。</w:t>
      </w:r>
    </w:p>
    <w:p>
      <w:pPr>
        <w:spacing w:line="560" w:lineRule="exact"/>
        <w:ind w:firstLine="640" w:firstLineChars="200"/>
        <w:outlineLvl w:val="1"/>
        <w:rPr>
          <w:rFonts w:ascii="仿宋" w:hAnsi="仿宋" w:eastAsia="仿宋"/>
          <w:sz w:val="32"/>
          <w:szCs w:val="32"/>
        </w:rPr>
      </w:pPr>
      <w:bookmarkStart w:id="48" w:name="_Toc37968449"/>
      <w:bookmarkStart w:id="49" w:name="_Toc218571328"/>
      <w:bookmarkStart w:id="50" w:name="_Toc37955903"/>
      <w:bookmarkStart w:id="51" w:name="_Toc41037456"/>
      <w:r>
        <w:rPr>
          <w:rFonts w:hint="eastAsia" w:ascii="仿宋" w:hAnsi="仿宋" w:eastAsia="仿宋" w:cs="黑体"/>
          <w:sz w:val="32"/>
          <w:szCs w:val="32"/>
        </w:rPr>
        <w:t>第十三条【企业注销】</w:t>
      </w:r>
      <w:bookmarkEnd w:id="48"/>
      <w:bookmarkEnd w:id="49"/>
      <w:bookmarkEnd w:id="50"/>
      <w:bookmarkEnd w:id="51"/>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企业可以通过一网通平台申请注销，由市场监督管理、税务、人力资源社会保障等部门分类处置、同步办理、一次办结相关事项。市场监督管理部门以及相关部门应当优化企业普通注销程序，</w:t>
      </w:r>
      <w:r>
        <w:rPr>
          <w:rFonts w:ascii="仿宋" w:hAnsi="仿宋" w:eastAsia="仿宋" w:cs="仿宋_GB2312"/>
          <w:sz w:val="32"/>
          <w:szCs w:val="32"/>
        </w:rPr>
        <w:t>精简企业注销申请材料，压缩办理时间，降低注销成本。对设立后未开业企业和无债权债务企业的注销，按照简易程序办理。</w:t>
      </w:r>
    </w:p>
    <w:p>
      <w:pPr>
        <w:spacing w:line="560" w:lineRule="exact"/>
        <w:ind w:firstLine="640" w:firstLineChars="200"/>
        <w:outlineLvl w:val="1"/>
        <w:rPr>
          <w:rFonts w:ascii="仿宋" w:hAnsi="仿宋" w:eastAsia="仿宋" w:cs="黑体"/>
          <w:sz w:val="32"/>
          <w:szCs w:val="32"/>
        </w:rPr>
      </w:pPr>
      <w:bookmarkStart w:id="52" w:name="_Toc37955906"/>
      <w:bookmarkStart w:id="53" w:name="_Toc37968451"/>
      <w:bookmarkStart w:id="54" w:name="_Toc218571340"/>
      <w:bookmarkStart w:id="55" w:name="_Toc41037457"/>
      <w:r>
        <w:rPr>
          <w:rFonts w:hint="eastAsia" w:ascii="仿宋" w:hAnsi="仿宋" w:eastAsia="仿宋" w:cs="黑体"/>
          <w:sz w:val="32"/>
          <w:szCs w:val="32"/>
        </w:rPr>
        <w:t>第十四条</w:t>
      </w:r>
      <w:bookmarkEnd w:id="52"/>
      <w:bookmarkEnd w:id="53"/>
      <w:bookmarkEnd w:id="54"/>
      <w:bookmarkEnd w:id="55"/>
      <w:bookmarkStart w:id="56" w:name="_Toc41037458"/>
      <w:bookmarkStart w:id="57" w:name="_Toc38895375"/>
      <w:bookmarkStart w:id="58" w:name="_Toc37968452"/>
      <w:bookmarkStart w:id="59" w:name="_Toc37955909"/>
      <w:bookmarkStart w:id="60" w:name="_Toc218571329"/>
      <w:bookmarkStart w:id="61" w:name="_Toc37347959"/>
      <w:r>
        <w:rPr>
          <w:rFonts w:hint="eastAsia" w:ascii="仿宋" w:hAnsi="仿宋" w:eastAsia="仿宋" w:cs="黑体"/>
          <w:sz w:val="32"/>
          <w:szCs w:val="32"/>
        </w:rPr>
        <w:t>【中小微企业扶持】</w:t>
      </w:r>
      <w:bookmarkEnd w:id="56"/>
      <w:bookmarkEnd w:id="57"/>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市、</w:t>
      </w:r>
      <w:r>
        <w:rPr>
          <w:rFonts w:hint="eastAsia" w:ascii="仿宋" w:hAnsi="仿宋" w:eastAsia="仿宋" w:cs="仿宋"/>
          <w:sz w:val="32"/>
          <w:szCs w:val="32"/>
          <w:lang w:eastAsia="zh-CN"/>
        </w:rPr>
        <w:t>县（市、区）</w:t>
      </w:r>
      <w:r>
        <w:rPr>
          <w:rFonts w:hint="eastAsia" w:ascii="仿宋" w:hAnsi="仿宋" w:eastAsia="仿宋" w:cs="仿宋"/>
          <w:sz w:val="32"/>
          <w:szCs w:val="32"/>
        </w:rPr>
        <w:t>人民政府应当</w:t>
      </w:r>
      <w:r>
        <w:rPr>
          <w:rFonts w:ascii="仿宋" w:hAnsi="仿宋" w:eastAsia="仿宋" w:cs="仿宋"/>
          <w:sz w:val="32"/>
          <w:szCs w:val="32"/>
        </w:rPr>
        <w:t>建立和完善中小微业公共服务机构</w:t>
      </w:r>
      <w:r>
        <w:rPr>
          <w:rFonts w:hint="eastAsia" w:ascii="仿宋" w:hAnsi="仿宋" w:eastAsia="仿宋" w:cs="仿宋"/>
          <w:sz w:val="32"/>
          <w:szCs w:val="32"/>
        </w:rPr>
        <w:t>，为中小微企业提供政策咨询、</w:t>
      </w:r>
      <w:r>
        <w:rPr>
          <w:rFonts w:ascii="仿宋" w:hAnsi="仿宋" w:eastAsia="仿宋" w:cs="仿宋"/>
          <w:sz w:val="32"/>
          <w:szCs w:val="32"/>
        </w:rPr>
        <w:t>创业创新、人才培训等公益性服务</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市、</w:t>
      </w:r>
      <w:r>
        <w:rPr>
          <w:rFonts w:hint="eastAsia" w:ascii="仿宋" w:hAnsi="仿宋" w:eastAsia="仿宋" w:cs="仿宋"/>
          <w:sz w:val="32"/>
          <w:szCs w:val="32"/>
          <w:lang w:eastAsia="zh-CN"/>
        </w:rPr>
        <w:t>县（市、区）</w:t>
      </w:r>
      <w:r>
        <w:rPr>
          <w:rFonts w:hint="eastAsia" w:ascii="仿宋" w:hAnsi="仿宋" w:eastAsia="仿宋" w:cs="仿宋"/>
          <w:sz w:val="32"/>
          <w:szCs w:val="32"/>
        </w:rPr>
        <w:t>人民政府应当在财政扶持、费用减免、金融支持、公共服务等方面制定专项政策，并在本级预算中安排中小微业发展专项资金，完善中小微业公共服务体系，为中小微业的发展营造良好的环境，保障中小微业公平参与市场竞争，支持中小微业创业创新。</w:t>
      </w:r>
    </w:p>
    <w:p>
      <w:pPr>
        <w:spacing w:line="560" w:lineRule="exact"/>
        <w:ind w:firstLine="640" w:firstLineChars="200"/>
        <w:outlineLvl w:val="1"/>
        <w:rPr>
          <w:rFonts w:ascii="仿宋" w:hAnsi="仿宋" w:eastAsia="仿宋"/>
          <w:sz w:val="32"/>
          <w:szCs w:val="32"/>
        </w:rPr>
      </w:pPr>
      <w:bookmarkStart w:id="62" w:name="_Toc41037459"/>
      <w:r>
        <w:rPr>
          <w:rFonts w:hint="eastAsia" w:ascii="仿宋" w:hAnsi="仿宋" w:eastAsia="仿宋" w:cs="黑体"/>
          <w:sz w:val="32"/>
          <w:szCs w:val="32"/>
        </w:rPr>
        <w:t>第十五条【中小投资者保护】</w:t>
      </w:r>
      <w:bookmarkEnd w:id="62"/>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本市全面加强中小投资者权益保护，完善中小投资者权益保护机制，提升中小投资者维护合法权益的便利度，依法保障中小投资者的知情权、参与权、表决权、收益权和监督权等合法权利，增强社会投资积极性。</w:t>
      </w:r>
      <w:bookmarkEnd w:id="58"/>
      <w:bookmarkEnd w:id="59"/>
      <w:bookmarkEnd w:id="60"/>
      <w:bookmarkStart w:id="63" w:name="tiao_12_kuan_2_xiang_4"/>
      <w:bookmarkEnd w:id="63"/>
      <w:bookmarkStart w:id="64" w:name="tiao_9_kuan_1_xiang_2"/>
      <w:bookmarkEnd w:id="64"/>
      <w:bookmarkStart w:id="65" w:name="tiao_12_kuan_2_xiang_3"/>
      <w:bookmarkEnd w:id="65"/>
      <w:bookmarkStart w:id="66" w:name="tiao_9_kuan_4"/>
      <w:bookmarkEnd w:id="66"/>
      <w:bookmarkStart w:id="67" w:name="tiao_12_kuan_2_xiang_2"/>
      <w:bookmarkEnd w:id="67"/>
      <w:bookmarkStart w:id="68" w:name="tiao_12_kuan_2_xiang_1"/>
      <w:bookmarkEnd w:id="68"/>
      <w:bookmarkStart w:id="69" w:name="tiao_9_kuan_1_xiang_1"/>
      <w:bookmarkEnd w:id="69"/>
      <w:bookmarkStart w:id="70" w:name="tiao_9_kuan_1_xiang_4"/>
      <w:bookmarkEnd w:id="70"/>
      <w:bookmarkStart w:id="71" w:name="tiao_9_kuan_3"/>
      <w:bookmarkEnd w:id="71"/>
      <w:bookmarkStart w:id="72" w:name="tiao_9_kuan_2"/>
      <w:bookmarkEnd w:id="72"/>
      <w:bookmarkStart w:id="73" w:name="_Toc37968455"/>
      <w:bookmarkStart w:id="74" w:name="_Toc41037461"/>
      <w:bookmarkStart w:id="75" w:name="_Toc218571334"/>
      <w:bookmarkStart w:id="76" w:name="_Toc37955912"/>
    </w:p>
    <w:bookmarkEnd w:id="61"/>
    <w:bookmarkEnd w:id="73"/>
    <w:bookmarkEnd w:id="74"/>
    <w:bookmarkEnd w:id="75"/>
    <w:bookmarkEnd w:id="76"/>
    <w:p>
      <w:pPr>
        <w:spacing w:line="560" w:lineRule="exact"/>
        <w:ind w:firstLine="640" w:firstLineChars="200"/>
        <w:outlineLvl w:val="1"/>
        <w:rPr>
          <w:rFonts w:ascii="仿宋" w:hAnsi="仿宋" w:eastAsia="仿宋" w:cs="黑体"/>
          <w:sz w:val="32"/>
          <w:szCs w:val="32"/>
        </w:rPr>
      </w:pPr>
      <w:bookmarkStart w:id="77" w:name="_Toc41037463"/>
      <w:bookmarkStart w:id="78" w:name="_Toc37955918"/>
      <w:bookmarkStart w:id="79" w:name="_Toc218571332"/>
      <w:bookmarkStart w:id="80" w:name="_Toc37968459"/>
      <w:bookmarkStart w:id="81" w:name="_Toc218571344"/>
      <w:bookmarkStart w:id="82" w:name="_Toc37347960"/>
      <w:r>
        <w:rPr>
          <w:rFonts w:hint="eastAsia" w:ascii="仿宋" w:hAnsi="仿宋" w:eastAsia="仿宋" w:cs="黑体"/>
          <w:sz w:val="32"/>
          <w:szCs w:val="32"/>
        </w:rPr>
        <w:t>第十六条【政策兑现】</w:t>
      </w:r>
      <w:bookmarkEnd w:id="77"/>
    </w:p>
    <w:p>
      <w:pPr>
        <w:spacing w:line="560" w:lineRule="exact"/>
        <w:ind w:firstLine="640" w:firstLineChars="200"/>
        <w:rPr>
          <w:rFonts w:ascii="仿宋" w:hAnsi="仿宋" w:eastAsia="仿宋" w:cs="仿宋_GB2312"/>
          <w:sz w:val="32"/>
          <w:szCs w:val="32"/>
        </w:rPr>
      </w:pPr>
      <w:r>
        <w:rPr>
          <w:rFonts w:hint="eastAsia" w:ascii="仿宋" w:hAnsi="仿宋" w:eastAsia="仿宋" w:cs="仿宋"/>
          <w:sz w:val="32"/>
          <w:szCs w:val="32"/>
        </w:rPr>
        <w:t>鼓励本行政区域内各级人民政府、有关部门充分运用现行法律制度及国家政策资源，结合实际情况探索具有湛江特色的</w:t>
      </w:r>
      <w:r>
        <w:rPr>
          <w:rFonts w:hint="eastAsia" w:ascii="仿宋" w:hAnsi="仿宋" w:eastAsia="仿宋" w:cs="仿宋_GB2312"/>
          <w:sz w:val="32"/>
          <w:szCs w:val="32"/>
        </w:rPr>
        <w:t>政策兑现事项集成服务模式。本市全面梳理需要使用财政资金支付的行政奖励、资助、补贴等各项优惠政策和产业促进政策，编制政策兑现事项清单，纳入政务服务事项管理，在市、</w:t>
      </w:r>
      <w:r>
        <w:rPr>
          <w:rFonts w:hint="eastAsia" w:ascii="仿宋" w:hAnsi="仿宋" w:eastAsia="仿宋" w:cs="仿宋_GB2312"/>
          <w:sz w:val="32"/>
          <w:szCs w:val="32"/>
          <w:lang w:eastAsia="zh-CN"/>
        </w:rPr>
        <w:t>县（市、区）</w:t>
      </w:r>
      <w:r>
        <w:rPr>
          <w:rFonts w:hint="eastAsia" w:ascii="仿宋" w:hAnsi="仿宋" w:eastAsia="仿宋" w:cs="仿宋_GB2312"/>
          <w:sz w:val="32"/>
          <w:szCs w:val="32"/>
        </w:rPr>
        <w:t>政务服务大厅和全市统一的一体化在线政务服务平台实施集成服务。</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市政务服务管理部门或者</w:t>
      </w:r>
      <w:r>
        <w:rPr>
          <w:rFonts w:hint="eastAsia" w:ascii="仿宋" w:hAnsi="仿宋" w:eastAsia="仿宋" w:cs="仿宋_GB2312"/>
          <w:sz w:val="32"/>
          <w:szCs w:val="32"/>
          <w:lang w:eastAsia="zh-CN"/>
        </w:rPr>
        <w:t>县（市、区）</w:t>
      </w:r>
      <w:r>
        <w:rPr>
          <w:rFonts w:hint="eastAsia" w:ascii="仿宋" w:hAnsi="仿宋" w:eastAsia="仿宋" w:cs="仿宋_GB2312"/>
          <w:sz w:val="32"/>
          <w:szCs w:val="32"/>
        </w:rPr>
        <w:t>人民政府指定的部门应当牵头相关部门定期对政策兑现事项涉及的优惠政策和产业促进政策进行评估，及时更新政策兑现事项清单，并对相关部门的政策兑现事项实施监督考核。</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市、</w:t>
      </w:r>
      <w:r>
        <w:rPr>
          <w:rFonts w:hint="eastAsia" w:ascii="仿宋" w:hAnsi="仿宋" w:eastAsia="仿宋"/>
          <w:sz w:val="32"/>
          <w:szCs w:val="32"/>
          <w:lang w:eastAsia="zh-CN"/>
        </w:rPr>
        <w:t>县（市、区）</w:t>
      </w:r>
      <w:r>
        <w:rPr>
          <w:rFonts w:hint="eastAsia" w:ascii="仿宋" w:hAnsi="仿宋" w:eastAsia="仿宋"/>
          <w:sz w:val="32"/>
          <w:szCs w:val="32"/>
        </w:rPr>
        <w:t>人民政府及其有关部门应当严格落实国家各项减税降费政策，及时研究解决政策落实中的具体问题，确保减税降费政策全面、及时惠及市场主体。</w:t>
      </w:r>
    </w:p>
    <w:bookmarkEnd w:id="78"/>
    <w:bookmarkEnd w:id="79"/>
    <w:bookmarkEnd w:id="80"/>
    <w:p>
      <w:pPr>
        <w:spacing w:line="560" w:lineRule="exact"/>
        <w:ind w:firstLine="640" w:firstLineChars="200"/>
        <w:outlineLvl w:val="1"/>
        <w:rPr>
          <w:rFonts w:ascii="仿宋" w:hAnsi="仿宋" w:eastAsia="仿宋" w:cs="黑体"/>
          <w:sz w:val="32"/>
          <w:szCs w:val="32"/>
        </w:rPr>
      </w:pPr>
      <w:bookmarkStart w:id="83" w:name="_Toc41037464"/>
      <w:r>
        <w:rPr>
          <w:rFonts w:hint="eastAsia" w:ascii="仿宋" w:hAnsi="仿宋" w:eastAsia="仿宋" w:cs="黑体"/>
          <w:sz w:val="32"/>
          <w:szCs w:val="32"/>
        </w:rPr>
        <w:t>第十七条【政府履约】</w:t>
      </w:r>
      <w:bookmarkEnd w:id="83"/>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本市各级人民政府和有关部门应当加强政府诚信建设，在发展规划、项目引资、优惠政策等方面，保持稳定性与连续性。</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国家机关、事业单位</w:t>
      </w:r>
      <w:r>
        <w:rPr>
          <w:rFonts w:hint="eastAsia" w:ascii="仿宋" w:hAnsi="仿宋" w:eastAsia="仿宋" w:cs="仿宋"/>
          <w:sz w:val="32"/>
          <w:szCs w:val="32"/>
        </w:rPr>
        <w:t>应当兑现以会议纪要、文件等书面形式承诺的合法优惠条件以及履行与市</w:t>
      </w:r>
      <w:r>
        <w:rPr>
          <w:rFonts w:hint="eastAsia" w:ascii="仿宋" w:hAnsi="仿宋" w:eastAsia="仿宋" w:cs="仿宋_GB2312"/>
          <w:sz w:val="32"/>
          <w:szCs w:val="32"/>
        </w:rPr>
        <w:t>场主体签订的有效合同，不得以政府换届、相关责任人变化或者政策调整等为由不履行、不兑现，或者迟延履行、迟延兑现。</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因国家利益、社会公共利益或者法定事由需要改变规划、行政决定的，应当依照法定权限和程序进行，给市场主体造成损失的，应当与其签订书面赔偿或者补偿协议。</w:t>
      </w:r>
    </w:p>
    <w:bookmarkEnd w:id="81"/>
    <w:bookmarkEnd w:id="82"/>
    <w:p>
      <w:pPr>
        <w:spacing w:line="560" w:lineRule="exact"/>
        <w:ind w:firstLine="640" w:firstLineChars="200"/>
        <w:outlineLvl w:val="1"/>
        <w:rPr>
          <w:rFonts w:ascii="仿宋" w:hAnsi="仿宋" w:eastAsia="仿宋"/>
          <w:sz w:val="32"/>
          <w:szCs w:val="32"/>
        </w:rPr>
      </w:pPr>
      <w:bookmarkStart w:id="84" w:name="_Toc41037465"/>
      <w:bookmarkStart w:id="85" w:name="_Toc37968461"/>
      <w:bookmarkStart w:id="86" w:name="_Toc37955920"/>
      <w:bookmarkStart w:id="87" w:name="_Toc218571354"/>
      <w:bookmarkStart w:id="88" w:name="_Toc37347970"/>
      <w:r>
        <w:rPr>
          <w:rFonts w:hint="eastAsia" w:ascii="仿宋" w:hAnsi="仿宋" w:eastAsia="仿宋" w:cs="黑体"/>
          <w:sz w:val="32"/>
          <w:szCs w:val="32"/>
        </w:rPr>
        <w:t>第十八条【就业服务】</w:t>
      </w:r>
      <w:bookmarkEnd w:id="84"/>
    </w:p>
    <w:p>
      <w:pPr>
        <w:spacing w:line="560" w:lineRule="exact"/>
        <w:ind w:firstLine="640" w:firstLineChars="200"/>
        <w:rPr>
          <w:rFonts w:ascii="仿宋" w:hAnsi="仿宋" w:eastAsia="仿宋"/>
          <w:sz w:val="32"/>
          <w:szCs w:val="32"/>
        </w:rPr>
      </w:pPr>
      <w:r>
        <w:rPr>
          <w:rFonts w:hint="eastAsia" w:ascii="仿宋" w:hAnsi="仿宋" w:eastAsia="仿宋"/>
          <w:sz w:val="32"/>
          <w:szCs w:val="32"/>
        </w:rPr>
        <w:t>人力资源社会保障部门支持市场主体依法采用灵活用工机制，健全劳动人事争议联合调解工作机制，完善相应配套制度，引导市场主体加强内部集体协商制度建设。</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人力资源社会保障部门应当加强劳动者职业技能培训，完善劳动者失业保障和就业服务的相关制度和程序，按照国家规定取消水平评价类技能人员职业资格，推行社会化职业技能等级认定。</w:t>
      </w:r>
    </w:p>
    <w:p>
      <w:pPr>
        <w:spacing w:line="560" w:lineRule="exact"/>
        <w:ind w:firstLine="480" w:firstLineChars="200"/>
        <w:outlineLvl w:val="1"/>
        <w:rPr>
          <w:rFonts w:ascii="仿宋" w:hAnsi="仿宋" w:eastAsia="仿宋"/>
          <w:sz w:val="32"/>
          <w:szCs w:val="32"/>
        </w:rPr>
      </w:pPr>
      <w:r>
        <w:rPr>
          <w:rFonts w:eastAsia="仿宋" w:cs="Calibri"/>
          <w:kern w:val="0"/>
          <w:sz w:val="24"/>
          <w:szCs w:val="24"/>
        </w:rPr>
        <w:t> </w:t>
      </w:r>
      <w:r>
        <w:rPr>
          <w:rFonts w:hint="eastAsia" w:ascii="仿宋" w:hAnsi="仿宋" w:eastAsia="仿宋"/>
          <w:sz w:val="32"/>
          <w:szCs w:val="32"/>
        </w:rPr>
        <w:t xml:space="preserve"> </w:t>
      </w:r>
      <w:bookmarkStart w:id="89" w:name="_Toc41037466"/>
      <w:r>
        <w:rPr>
          <w:rFonts w:hint="eastAsia" w:ascii="仿宋" w:hAnsi="仿宋" w:eastAsia="仿宋" w:cs="黑体"/>
          <w:sz w:val="32"/>
          <w:szCs w:val="32"/>
        </w:rPr>
        <w:t>第十九条【行政审批中介服务】</w:t>
      </w:r>
      <w:bookmarkEnd w:id="85"/>
      <w:bookmarkEnd w:id="86"/>
      <w:bookmarkEnd w:id="87"/>
      <w:bookmarkEnd w:id="88"/>
      <w:bookmarkEnd w:id="89"/>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本市遵循合法、必要、精简原则，清理规范行政审批过程中的中介服务行为，编制并公布行政审批中介服务清单，实施动态管理。未纳入清单的中介服务事项，不得作为行政审批的受理条件。</w:t>
      </w:r>
    </w:p>
    <w:p>
      <w:pPr>
        <w:spacing w:line="560" w:lineRule="exact"/>
        <w:ind w:firstLine="480"/>
        <w:rPr>
          <w:rFonts w:ascii="仿宋" w:hAnsi="仿宋" w:eastAsia="仿宋" w:cs="仿宋_GB2312"/>
          <w:sz w:val="32"/>
          <w:szCs w:val="32"/>
        </w:rPr>
      </w:pPr>
      <w:r>
        <w:rPr>
          <w:rFonts w:hint="eastAsia" w:ascii="仿宋" w:hAnsi="仿宋" w:eastAsia="仿宋" w:cs="仿宋_GB2312"/>
          <w:sz w:val="32"/>
          <w:szCs w:val="32"/>
        </w:rPr>
        <w:t xml:space="preserve"> 除法律法规另有规定外，能够通过征求相关部门意见、加强事中事后监管解决或者申请人可以按照要求自行完成的事项，不得强制或者变相强制市场主体接受中介服务。现有或者已取消的行政审批事项，不得转为中介服务。</w:t>
      </w:r>
    </w:p>
    <w:p>
      <w:pPr>
        <w:spacing w:line="560" w:lineRule="exact"/>
        <w:ind w:firstLine="640" w:firstLineChars="200"/>
        <w:outlineLvl w:val="1"/>
        <w:rPr>
          <w:rFonts w:ascii="仿宋" w:hAnsi="仿宋" w:eastAsia="仿宋"/>
          <w:sz w:val="32"/>
          <w:szCs w:val="32"/>
        </w:rPr>
      </w:pPr>
      <w:bookmarkStart w:id="90" w:name="_Toc41037467"/>
      <w:bookmarkStart w:id="91" w:name="_Hlk37238904"/>
      <w:r>
        <w:rPr>
          <w:rFonts w:hint="eastAsia" w:ascii="仿宋" w:hAnsi="仿宋" w:eastAsia="仿宋" w:cs="黑体"/>
          <w:sz w:val="32"/>
          <w:szCs w:val="32"/>
        </w:rPr>
        <w:t>第二十条【公用服务便民】</w:t>
      </w:r>
      <w:bookmarkEnd w:id="90"/>
    </w:p>
    <w:p>
      <w:pPr>
        <w:shd w:val="clear" w:color="auto" w:fill="FFFFFF"/>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本市鼓励供水、排水、供电、供气、通信网络等公用企事业单位为市场主体提供全程免费代办服务。鼓励公用企事业单位全面实施网上办理、移动支付等便利业务，</w:t>
      </w:r>
      <w:r>
        <w:rPr>
          <w:rFonts w:ascii="仿宋" w:hAnsi="仿宋" w:eastAsia="仿宋" w:cs="仿宋_GB2312"/>
          <w:sz w:val="32"/>
          <w:szCs w:val="32"/>
        </w:rPr>
        <w:t>简化报装手续、优化办理流程</w:t>
      </w:r>
      <w:r>
        <w:rPr>
          <w:rFonts w:hint="eastAsia" w:ascii="仿宋" w:hAnsi="仿宋" w:eastAsia="仿宋" w:cs="仿宋_GB2312"/>
          <w:sz w:val="32"/>
          <w:szCs w:val="32"/>
        </w:rPr>
        <w:t>、压缩办理时限。</w:t>
      </w:r>
    </w:p>
    <w:p>
      <w:pPr>
        <w:shd w:val="clear" w:color="auto" w:fill="FFFFFF"/>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公用企事业单位应当在经营场所的显著位置和官方网站</w:t>
      </w:r>
      <w:r>
        <w:rPr>
          <w:rFonts w:ascii="仿宋" w:hAnsi="仿宋" w:eastAsia="仿宋" w:cs="仿宋_GB2312"/>
          <w:sz w:val="32"/>
          <w:szCs w:val="32"/>
        </w:rPr>
        <w:t>向社会公开服务标准、资费标准</w:t>
      </w:r>
      <w:r>
        <w:rPr>
          <w:rFonts w:hint="eastAsia" w:ascii="仿宋" w:hAnsi="仿宋" w:eastAsia="仿宋" w:cs="仿宋_GB2312"/>
          <w:sz w:val="32"/>
          <w:szCs w:val="32"/>
        </w:rPr>
        <w:t>、流程、完成时限等信息。</w:t>
      </w:r>
    </w:p>
    <w:p>
      <w:pPr>
        <w:spacing w:line="560" w:lineRule="exact"/>
        <w:ind w:firstLine="640" w:firstLineChars="200"/>
        <w:outlineLvl w:val="1"/>
        <w:rPr>
          <w:rFonts w:ascii="仿宋" w:hAnsi="仿宋" w:eastAsia="仿宋"/>
          <w:sz w:val="32"/>
          <w:szCs w:val="32"/>
        </w:rPr>
      </w:pPr>
      <w:bookmarkStart w:id="92" w:name="_Toc41037468"/>
      <w:r>
        <w:rPr>
          <w:rFonts w:hint="eastAsia" w:ascii="仿宋" w:hAnsi="仿宋" w:eastAsia="仿宋" w:cs="黑体"/>
          <w:sz w:val="32"/>
          <w:szCs w:val="32"/>
        </w:rPr>
        <w:t>第二十一条【协会商会服务】</w:t>
      </w:r>
      <w:bookmarkEnd w:id="92"/>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本市加强行业协会商会对市场主体的指导和自律管理，鼓励组织在制定技术标准、规范行业秩序、降低交易成本等方面的服务。并依法规范和监督行业协会、商会的收费、评比、认证等行为。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本市引导行业协会、商会设立市场主体维权服务平台，参与和支持企业维权，反映行业合理诉求，维护行业合法权益。</w:t>
      </w:r>
    </w:p>
    <w:bookmarkEnd w:id="91"/>
    <w:p>
      <w:pPr>
        <w:autoSpaceDE w:val="0"/>
        <w:autoSpaceDN w:val="0"/>
        <w:adjustRightInd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除法律、法规另有规定外，市场主体有权自主决定加入或者退出行业协会、商会等社会组织。</w:t>
      </w:r>
    </w:p>
    <w:p/>
    <w:p/>
    <w:p/>
    <w:p>
      <w:pPr>
        <w:spacing w:line="560" w:lineRule="exact"/>
        <w:ind w:firstLine="640" w:firstLineChars="200"/>
        <w:jc w:val="center"/>
        <w:outlineLvl w:val="0"/>
        <w:rPr>
          <w:rFonts w:hint="eastAsia" w:ascii="仿宋" w:hAnsi="仿宋" w:eastAsia="仿宋"/>
          <w:sz w:val="32"/>
          <w:szCs w:val="32"/>
        </w:rPr>
      </w:pPr>
      <w:r>
        <w:rPr>
          <w:rFonts w:hint="eastAsia" w:ascii="仿宋" w:hAnsi="仿宋" w:eastAsia="仿宋"/>
          <w:sz w:val="32"/>
          <w:szCs w:val="32"/>
        </w:rPr>
        <w:t>第三章 政务便利</w:t>
      </w:r>
    </w:p>
    <w:p>
      <w:pPr>
        <w:spacing w:line="560" w:lineRule="exact"/>
        <w:ind w:firstLine="640" w:firstLineChars="200"/>
        <w:jc w:val="center"/>
        <w:outlineLvl w:val="0"/>
        <w:rPr>
          <w:rFonts w:ascii="仿宋" w:hAnsi="仿宋" w:eastAsia="仿宋"/>
          <w:sz w:val="32"/>
          <w:szCs w:val="32"/>
        </w:rPr>
      </w:pPr>
    </w:p>
    <w:p>
      <w:pPr>
        <w:spacing w:line="560" w:lineRule="exact"/>
        <w:ind w:firstLine="640" w:firstLineChars="200"/>
        <w:outlineLvl w:val="1"/>
        <w:rPr>
          <w:rFonts w:ascii="仿宋" w:hAnsi="仿宋" w:eastAsia="仿宋"/>
          <w:sz w:val="32"/>
          <w:szCs w:val="32"/>
        </w:rPr>
      </w:pPr>
      <w:bookmarkStart w:id="93" w:name="_Toc37347975"/>
      <w:bookmarkStart w:id="94" w:name="_Toc37955927"/>
      <w:bookmarkStart w:id="95" w:name="_Toc37968464"/>
      <w:bookmarkStart w:id="96" w:name="_Toc218571356"/>
      <w:bookmarkStart w:id="97" w:name="_Toc41037470"/>
      <w:r>
        <w:rPr>
          <w:rFonts w:hint="eastAsia" w:ascii="仿宋" w:hAnsi="仿宋" w:eastAsia="仿宋" w:cs="黑体"/>
          <w:sz w:val="32"/>
          <w:szCs w:val="32"/>
        </w:rPr>
        <w:t>第二十二条【政务服务事项清单】</w:t>
      </w:r>
      <w:bookmarkEnd w:id="93"/>
      <w:bookmarkEnd w:id="94"/>
      <w:bookmarkEnd w:id="95"/>
      <w:bookmarkEnd w:id="96"/>
      <w:bookmarkEnd w:id="97"/>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市政务服务管理部门对政务服务事项负统一管理责任，制定具体管理办法。相关部门应当制定本部门政务服务事项清单</w:t>
      </w:r>
      <w:r>
        <w:rPr>
          <w:rFonts w:hint="eastAsia" w:ascii="仿宋" w:hAnsi="仿宋" w:eastAsia="仿宋" w:cs="仿宋_GB2312"/>
          <w:sz w:val="32"/>
          <w:szCs w:val="32"/>
          <w:lang w:val="zh-CN"/>
        </w:rPr>
        <w:t>和</w:t>
      </w:r>
      <w:r>
        <w:rPr>
          <w:rFonts w:hint="eastAsia" w:ascii="仿宋" w:hAnsi="仿宋" w:eastAsia="仿宋" w:cs="仿宋_GB2312"/>
          <w:sz w:val="32"/>
          <w:szCs w:val="32"/>
        </w:rPr>
        <w:t>“一件事一次办</w:t>
      </w:r>
      <w:r>
        <w:rPr>
          <w:rFonts w:ascii="仿宋" w:hAnsi="仿宋" w:eastAsia="仿宋" w:cs="仿宋_GB2312"/>
          <w:sz w:val="32"/>
          <w:szCs w:val="32"/>
        </w:rPr>
        <w:t>”</w:t>
      </w:r>
      <w:r>
        <w:rPr>
          <w:rFonts w:hint="eastAsia" w:ascii="仿宋" w:hAnsi="仿宋" w:eastAsia="仿宋" w:cs="仿宋_GB2312"/>
          <w:sz w:val="32"/>
          <w:szCs w:val="32"/>
          <w:lang w:val="zh-CN"/>
        </w:rPr>
        <w:t>服务清单</w:t>
      </w:r>
      <w:r>
        <w:rPr>
          <w:rFonts w:hint="eastAsia" w:ascii="仿宋" w:hAnsi="仿宋" w:eastAsia="仿宋" w:cs="仿宋_GB2312"/>
          <w:sz w:val="32"/>
          <w:szCs w:val="32"/>
        </w:rPr>
        <w:t>，且不得增设无依据的政务服务事项办理条件和环节。</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相关部门应当优化政企服务模式，建立健全市、</w:t>
      </w:r>
      <w:r>
        <w:rPr>
          <w:rFonts w:hint="eastAsia" w:ascii="仿宋" w:hAnsi="仿宋" w:eastAsia="仿宋" w:cs="仿宋_GB2312"/>
          <w:sz w:val="32"/>
          <w:szCs w:val="32"/>
          <w:lang w:eastAsia="zh-CN"/>
        </w:rPr>
        <w:t>县（市、区）</w:t>
      </w:r>
      <w:r>
        <w:rPr>
          <w:rFonts w:hint="eastAsia" w:ascii="仿宋" w:hAnsi="仿宋" w:eastAsia="仿宋" w:cs="仿宋_GB2312"/>
          <w:sz w:val="32"/>
          <w:szCs w:val="32"/>
        </w:rPr>
        <w:t>联动的企业服务机制，为市场主体办理政务服务事项提供免费的咨询、指导、协调服务。</w:t>
      </w:r>
    </w:p>
    <w:p>
      <w:pPr>
        <w:spacing w:line="560" w:lineRule="exact"/>
        <w:ind w:firstLine="640" w:firstLineChars="200"/>
        <w:outlineLvl w:val="1"/>
        <w:rPr>
          <w:rFonts w:ascii="仿宋" w:hAnsi="仿宋" w:eastAsia="仿宋"/>
          <w:sz w:val="32"/>
          <w:szCs w:val="32"/>
        </w:rPr>
      </w:pPr>
      <w:bookmarkStart w:id="98" w:name="_Toc37955928"/>
      <w:bookmarkStart w:id="99" w:name="_Toc218571357"/>
      <w:bookmarkStart w:id="100" w:name="_Toc41037471"/>
      <w:bookmarkStart w:id="101" w:name="_Toc36984193"/>
      <w:bookmarkStart w:id="102" w:name="_Toc37968465"/>
      <w:r>
        <w:rPr>
          <w:rFonts w:hint="eastAsia" w:ascii="仿宋" w:hAnsi="仿宋" w:eastAsia="仿宋" w:cs="黑体"/>
          <w:sz w:val="32"/>
          <w:szCs w:val="32"/>
        </w:rPr>
        <w:t>第二十三条【政务服务优化】</w:t>
      </w:r>
      <w:bookmarkEnd w:id="98"/>
      <w:bookmarkEnd w:id="99"/>
      <w:bookmarkEnd w:id="100"/>
      <w:bookmarkEnd w:id="101"/>
      <w:bookmarkEnd w:id="102"/>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市政务服务管理部门建设全市统一的一体化在线政务服务平台。政务服务机构应当健全并严格落实一次性告知、首问责任制度、限时办结等制度，探索提供错时、全天候、个性化服务。建立政务服务事项和政务服务大厅窗口服务“好差评”以及“差评”评价核实整改和反馈制度，“好差评”评价情况纳入政务服务质量通报。</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建立政务数据资源管理和信息共享以及政企数据共享工作机制。相关部门应当依法采集、核准、更新、共享政务数据，编制本部门政务信息资源目录。</w:t>
      </w:r>
    </w:p>
    <w:p>
      <w:pPr>
        <w:spacing w:line="560" w:lineRule="exact"/>
        <w:ind w:firstLine="640" w:firstLineChars="200"/>
        <w:outlineLvl w:val="1"/>
        <w:rPr>
          <w:rFonts w:ascii="仿宋" w:hAnsi="仿宋" w:eastAsia="仿宋"/>
          <w:sz w:val="32"/>
          <w:szCs w:val="32"/>
        </w:rPr>
      </w:pPr>
      <w:bookmarkStart w:id="103" w:name="_Toc37955932"/>
      <w:bookmarkStart w:id="104" w:name="_Toc37347967"/>
      <w:bookmarkStart w:id="105" w:name="_Toc218571352"/>
      <w:bookmarkStart w:id="106" w:name="_Toc41037474"/>
      <w:bookmarkStart w:id="107" w:name="_Toc37968468"/>
      <w:r>
        <w:rPr>
          <w:rFonts w:hint="eastAsia" w:ascii="仿宋" w:hAnsi="仿宋" w:eastAsia="仿宋" w:cs="黑体"/>
          <w:sz w:val="32"/>
          <w:szCs w:val="32"/>
        </w:rPr>
        <w:t>第二十四条【电子证照】</w:t>
      </w:r>
      <w:bookmarkEnd w:id="103"/>
      <w:bookmarkEnd w:id="104"/>
      <w:bookmarkEnd w:id="105"/>
      <w:bookmarkEnd w:id="106"/>
      <w:bookmarkEnd w:id="107"/>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本市建立统一的电子证照服务系统，在工程建设领域、开办企业、不动产登记、获得电力等领域加快推广应用电子证照，推行完税证明电子化。</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各级人民政府及其有关部门应当对实体证照和电子证照实行同步签发、同步更新、同步注销，申请人在申请办理有关事项时可以通过出示电子证照表明其身份、资质，电子证照和具有代表身份认证信息数字签名的电子文档可以直接作为法定办事依据和归档材料。电子证照的具体应用场景由市政务服务管理部门会同相关部门确定后公布实施。</w:t>
      </w:r>
    </w:p>
    <w:p>
      <w:pPr>
        <w:spacing w:line="560" w:lineRule="exact"/>
        <w:ind w:firstLine="480" w:firstLineChars="200"/>
        <w:outlineLvl w:val="1"/>
        <w:rPr>
          <w:rFonts w:ascii="仿宋" w:hAnsi="仿宋" w:eastAsia="仿宋"/>
          <w:sz w:val="32"/>
          <w:szCs w:val="32"/>
        </w:rPr>
      </w:pPr>
      <w:r>
        <w:rPr>
          <w:rFonts w:eastAsia="仿宋" w:cs="Calibri"/>
          <w:sz w:val="24"/>
          <w:szCs w:val="24"/>
        </w:rPr>
        <w:t> </w:t>
      </w:r>
      <w:bookmarkStart w:id="108" w:name="_Toc218571351"/>
      <w:bookmarkStart w:id="109" w:name="_Toc37347964"/>
      <w:bookmarkStart w:id="110" w:name="_Toc37968469"/>
      <w:bookmarkStart w:id="111" w:name="_Toc37955933"/>
      <w:r>
        <w:rPr>
          <w:rFonts w:hint="eastAsia" w:ascii="仿宋" w:hAnsi="仿宋" w:eastAsia="仿宋"/>
          <w:sz w:val="32"/>
          <w:szCs w:val="32"/>
        </w:rPr>
        <w:t xml:space="preserve"> </w:t>
      </w:r>
      <w:bookmarkStart w:id="112" w:name="_Toc41037475"/>
      <w:r>
        <w:rPr>
          <w:rFonts w:hint="eastAsia" w:ascii="仿宋" w:hAnsi="仿宋" w:eastAsia="仿宋" w:cs="黑体"/>
          <w:sz w:val="32"/>
          <w:szCs w:val="32"/>
        </w:rPr>
        <w:t>第二十五条</w:t>
      </w:r>
      <w:bookmarkEnd w:id="108"/>
      <w:bookmarkEnd w:id="109"/>
      <w:r>
        <w:rPr>
          <w:rFonts w:hint="eastAsia" w:ascii="仿宋" w:hAnsi="仿宋" w:eastAsia="仿宋" w:cs="黑体"/>
          <w:sz w:val="32"/>
          <w:szCs w:val="32"/>
        </w:rPr>
        <w:t>【行政许可和备案】</w:t>
      </w:r>
      <w:bookmarkEnd w:id="110"/>
      <w:bookmarkEnd w:id="111"/>
      <w:bookmarkEnd w:id="112"/>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本市实施行政许可事项清单管理制度。市政府职能转变协调工作机构应当会同相关部门及时向社会公布清单并进行动态调整。</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行政备案应当由市人民政府以规章的形式设定。本市其他行政机关不得以任何形式设定行政备案。行政备案管理的具体办法由市人民政府另行制定。</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各相关部门应当将本年度行政许可办理、费用收取、监督检查等工作情况，向同级政府职能转变协调工作机构报告并依法向社会公布。</w:t>
      </w:r>
    </w:p>
    <w:p>
      <w:pPr>
        <w:spacing w:line="560" w:lineRule="exact"/>
        <w:ind w:firstLine="640" w:firstLineChars="200"/>
        <w:outlineLvl w:val="1"/>
        <w:rPr>
          <w:rFonts w:ascii="仿宋" w:hAnsi="仿宋" w:eastAsia="仿宋"/>
          <w:sz w:val="32"/>
          <w:szCs w:val="32"/>
        </w:rPr>
      </w:pPr>
      <w:bookmarkStart w:id="113" w:name="_Toc37968470"/>
      <w:bookmarkStart w:id="114" w:name="_Toc37955934"/>
      <w:bookmarkStart w:id="115" w:name="_Toc41037476"/>
      <w:r>
        <w:rPr>
          <w:rFonts w:hint="eastAsia" w:ascii="仿宋" w:hAnsi="仿宋" w:eastAsia="仿宋" w:cs="黑体"/>
          <w:sz w:val="32"/>
          <w:szCs w:val="32"/>
        </w:rPr>
        <w:t>第二十六条【告知承诺】</w:t>
      </w:r>
      <w:bookmarkEnd w:id="113"/>
      <w:bookmarkEnd w:id="114"/>
      <w:bookmarkEnd w:id="115"/>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本市推行政务服务事项告知承诺制度。除直接关系公共安全、生态环境保护和人身健康、生命财产安全的政务服务事项外，申请人以书面形式承诺符合办理条件并提供相关材料的，相关部门应当直接作出决定。</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相关部门应当制作并公布实行告知承诺的政务服务事项目录清单和办事指南，应当建立告知承诺信息公示制度，将承诺人履行承诺情况纳入本市公共信用信息管理系统。</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相关部门应当定期对承诺人履行承诺的情况进行抽查；承诺人未履行承诺的，应当以信用公示、停工整改、撤销行政审批决定等形式追究其责任。</w:t>
      </w:r>
    </w:p>
    <w:p>
      <w:pPr>
        <w:spacing w:line="560" w:lineRule="exact"/>
        <w:ind w:firstLine="640" w:firstLineChars="200"/>
        <w:outlineLvl w:val="1"/>
        <w:rPr>
          <w:rFonts w:ascii="仿宋" w:hAnsi="仿宋" w:eastAsia="仿宋"/>
          <w:sz w:val="32"/>
          <w:szCs w:val="32"/>
        </w:rPr>
      </w:pPr>
      <w:bookmarkStart w:id="116" w:name="_Toc37968471"/>
      <w:bookmarkStart w:id="117" w:name="_Toc37347963"/>
      <w:bookmarkStart w:id="118" w:name="_Toc37955935"/>
      <w:bookmarkStart w:id="119" w:name="_Toc218571350"/>
      <w:bookmarkStart w:id="120" w:name="_Toc41037477"/>
      <w:r>
        <w:rPr>
          <w:rFonts w:hint="eastAsia" w:ascii="仿宋" w:hAnsi="仿宋" w:eastAsia="仿宋" w:cs="黑体"/>
          <w:sz w:val="32"/>
          <w:szCs w:val="32"/>
        </w:rPr>
        <w:t>第二十七条【容缺受理及减证便民】</w:t>
      </w:r>
      <w:bookmarkEnd w:id="116"/>
      <w:bookmarkEnd w:id="117"/>
      <w:bookmarkEnd w:id="118"/>
      <w:bookmarkEnd w:id="119"/>
      <w:bookmarkEnd w:id="120"/>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相关部门应当建立政务服务事项容缺受理工作机制，制定容缺受理事项及申请材料目录并向社会公开。本市逐步压缩证明事项的设定范围，未纳入清单的证明事项和盖章环节，不得要求市场主体提供。</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各级人民政府及其相关部门应当加强证明的互认共享，不得重复向市场主体索要证明。</w:t>
      </w:r>
    </w:p>
    <w:p>
      <w:pPr>
        <w:spacing w:line="560" w:lineRule="exact"/>
        <w:ind w:firstLine="640" w:firstLineChars="200"/>
        <w:outlineLvl w:val="1"/>
        <w:rPr>
          <w:rFonts w:ascii="仿宋" w:hAnsi="仿宋" w:eastAsia="仿宋" w:cs="黑体"/>
          <w:sz w:val="32"/>
          <w:szCs w:val="32"/>
        </w:rPr>
      </w:pPr>
      <w:bookmarkStart w:id="121" w:name="_Toc38990076"/>
      <w:bookmarkStart w:id="122" w:name="_Toc41037479"/>
      <w:bookmarkStart w:id="123" w:name="_Toc36984204"/>
      <w:bookmarkStart w:id="124" w:name="_Toc37968473"/>
      <w:bookmarkStart w:id="125" w:name="_Toc218571345"/>
      <w:bookmarkStart w:id="126" w:name="_Toc37955937"/>
      <w:r>
        <w:rPr>
          <w:rFonts w:hint="eastAsia" w:ascii="仿宋" w:hAnsi="仿宋" w:eastAsia="仿宋" w:cs="黑体"/>
          <w:sz w:val="32"/>
          <w:szCs w:val="32"/>
        </w:rPr>
        <w:t>第二十八条</w:t>
      </w:r>
      <w:r>
        <w:rPr>
          <w:rFonts w:ascii="仿宋" w:hAnsi="仿宋" w:eastAsia="仿宋" w:cs="黑体"/>
          <w:sz w:val="32"/>
          <w:szCs w:val="32"/>
        </w:rPr>
        <w:t xml:space="preserve"> </w:t>
      </w:r>
      <w:bookmarkEnd w:id="121"/>
      <w:r>
        <w:rPr>
          <w:rFonts w:hint="eastAsia" w:ascii="仿宋" w:hAnsi="仿宋" w:eastAsia="仿宋" w:cs="黑体"/>
          <w:sz w:val="32"/>
          <w:szCs w:val="32"/>
        </w:rPr>
        <w:t>【水电气供应及税务服务】</w:t>
      </w:r>
      <w:bookmarkEnd w:id="122"/>
    </w:p>
    <w:p>
      <w:pPr>
        <w:spacing w:line="560" w:lineRule="exact"/>
        <w:ind w:firstLine="640" w:firstLineChars="200"/>
        <w:rPr>
          <w:rFonts w:ascii="仿宋" w:hAnsi="仿宋" w:eastAsia="仿宋"/>
          <w:sz w:val="32"/>
          <w:szCs w:val="32"/>
        </w:rPr>
      </w:pPr>
      <w:r>
        <w:rPr>
          <w:rFonts w:hint="eastAsia" w:ascii="仿宋" w:hAnsi="仿宋" w:eastAsia="仿宋"/>
          <w:sz w:val="32"/>
          <w:szCs w:val="32"/>
        </w:rPr>
        <w:t>本市20千伏及以下电力外线工程、供水和供气外线工程项目在工程建设项目联合审批平台统一收件、统一出件、资料共享、并联审批，审批办理时限不超过五日。</w:t>
      </w:r>
      <w:r>
        <w:rPr>
          <w:rFonts w:hint="eastAsia" w:ascii="仿宋" w:hAnsi="仿宋" w:eastAsia="仿宋" w:cs="仿宋_GB2312"/>
          <w:sz w:val="32"/>
          <w:szCs w:val="32"/>
        </w:rPr>
        <w:t>供水、供电、供气、通信网络等公用企事业单位</w:t>
      </w:r>
      <w:r>
        <w:rPr>
          <w:rFonts w:hint="eastAsia" w:ascii="仿宋" w:hAnsi="仿宋" w:eastAsia="仿宋"/>
          <w:sz w:val="32"/>
          <w:szCs w:val="32"/>
        </w:rPr>
        <w:t>违法拒绝或者中断对市场的服务的，应当根据服务合同承担赔偿责任。相关部门应当</w:t>
      </w:r>
      <w:r>
        <w:rPr>
          <w:rFonts w:ascii="仿宋" w:hAnsi="仿宋" w:eastAsia="仿宋"/>
          <w:sz w:val="32"/>
          <w:szCs w:val="32"/>
        </w:rPr>
        <w:t>建立</w:t>
      </w:r>
      <w:r>
        <w:rPr>
          <w:rFonts w:hint="eastAsia" w:ascii="仿宋" w:hAnsi="仿宋" w:eastAsia="仿宋"/>
          <w:sz w:val="32"/>
          <w:szCs w:val="32"/>
        </w:rPr>
        <w:t>水电气以及通信网络供应可靠性的管制措施。</w:t>
      </w:r>
    </w:p>
    <w:bookmarkEnd w:id="123"/>
    <w:bookmarkEnd w:id="124"/>
    <w:bookmarkEnd w:id="125"/>
    <w:bookmarkEnd w:id="126"/>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税务机关应当持续优化税务服务，推动相关税费合并申报及缴纳，精简办税资料和流程，压缩办税时限；拓宽办税渠道，推广使用电子发票，逐步实现全程网上办税；为纳税人提供税收信息和税收政策网上查询、咨询服务，提高税务服务便利化。</w:t>
      </w:r>
    </w:p>
    <w:p>
      <w:pPr>
        <w:spacing w:line="560" w:lineRule="exact"/>
        <w:ind w:firstLine="640" w:firstLineChars="200"/>
        <w:outlineLvl w:val="1"/>
        <w:rPr>
          <w:rFonts w:ascii="仿宋" w:hAnsi="仿宋" w:eastAsia="仿宋"/>
          <w:sz w:val="32"/>
          <w:szCs w:val="32"/>
        </w:rPr>
      </w:pPr>
      <w:bookmarkStart w:id="127" w:name="_Toc37955938"/>
      <w:bookmarkStart w:id="128" w:name="_Toc37968474"/>
      <w:bookmarkStart w:id="129" w:name="_Toc41037480"/>
      <w:bookmarkStart w:id="130" w:name="_Toc218571346"/>
      <w:bookmarkStart w:id="131" w:name="_Toc36984207"/>
      <w:r>
        <w:rPr>
          <w:rFonts w:hint="eastAsia" w:ascii="仿宋" w:hAnsi="仿宋" w:eastAsia="仿宋" w:cs="黑体"/>
          <w:sz w:val="32"/>
          <w:szCs w:val="32"/>
        </w:rPr>
        <w:t>第二十九条</w:t>
      </w:r>
      <w:r>
        <w:rPr>
          <w:rFonts w:ascii="仿宋" w:hAnsi="仿宋" w:eastAsia="仿宋" w:cs="黑体"/>
          <w:sz w:val="32"/>
          <w:szCs w:val="32"/>
        </w:rPr>
        <w:t xml:space="preserve"> </w:t>
      </w:r>
      <w:r>
        <w:rPr>
          <w:rFonts w:hint="eastAsia" w:ascii="仿宋" w:hAnsi="仿宋" w:eastAsia="仿宋" w:cs="黑体"/>
          <w:sz w:val="32"/>
          <w:szCs w:val="32"/>
        </w:rPr>
        <w:t>【优化用地及工程建设审批管理】</w:t>
      </w:r>
      <w:bookmarkEnd w:id="127"/>
      <w:bookmarkEnd w:id="128"/>
      <w:bookmarkEnd w:id="129"/>
      <w:bookmarkEnd w:id="130"/>
      <w:bookmarkEnd w:id="131"/>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本条例实施后供应的国有土地建设用地合并办理建设用地规划许可证与工程规划许可证，用地单位可以凭国有土地划拨决定书、国有建设用地使用权出让合同、政府投资项目的用地预审意见等办理后续报建手续。</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w:t>
      </w:r>
      <w:bookmarkStart w:id="132" w:name="_Hlk37185658"/>
      <w:r>
        <w:rPr>
          <w:rFonts w:hint="eastAsia" w:ascii="仿宋" w:hAnsi="仿宋" w:eastAsia="仿宋" w:cs="仿宋_GB2312"/>
          <w:sz w:val="32"/>
          <w:szCs w:val="32"/>
        </w:rPr>
        <w:t>推行工程建设项目风险分级分类审批，质量安全监管制度和特定区域评估制度。</w:t>
      </w:r>
      <w:bookmarkEnd w:id="132"/>
      <w:r>
        <w:rPr>
          <w:rFonts w:hint="eastAsia" w:ascii="仿宋" w:hAnsi="仿宋" w:eastAsia="仿宋" w:cs="仿宋_GB2312"/>
          <w:sz w:val="32"/>
          <w:szCs w:val="32"/>
        </w:rPr>
        <w:t>各类工程主管部门分别制定审批流程图，推行工程建设项目联合审批、联合审图、联合验收。</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施工图审查不再作为办理施工许可证的必须前置条件，由市住房城乡建设部门通过政府购买服务开展监督抽查。房屋建筑工程的建设单位依法确定施工总承包单位且满足规划条件后，可以按照基坑支护和土方开挖、地基基础和地下结构、地上结构等施工进展顺序，分阶段申请办理施工许可证。</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市住房城乡建设部门确定范围内的社会投资低风险工程建设项目的建设单位，可以委托监理单位或者聘请注册建筑师等专业技术人员担任内部监理。</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本市培育工程质量保险市场，完善工程质量保证机制。 本市新出让的居住用地住宅项目及新立项建设的保障性住房项目，应当将投保工程质量潜在缺陷保险列入土地出让合同。</w:t>
      </w:r>
      <w:bookmarkStart w:id="133" w:name="_Toc37347983"/>
      <w:bookmarkStart w:id="134" w:name="_Hlk37238920"/>
    </w:p>
    <w:bookmarkEnd w:id="133"/>
    <w:bookmarkEnd w:id="134"/>
    <w:p>
      <w:pPr>
        <w:spacing w:line="560" w:lineRule="exact"/>
        <w:ind w:firstLine="640" w:firstLineChars="200"/>
        <w:outlineLvl w:val="1"/>
        <w:rPr>
          <w:rFonts w:ascii="仿宋" w:hAnsi="仿宋" w:eastAsia="仿宋"/>
          <w:sz w:val="32"/>
          <w:szCs w:val="32"/>
        </w:rPr>
      </w:pPr>
      <w:bookmarkStart w:id="135" w:name="_Toc37347984"/>
      <w:bookmarkStart w:id="136" w:name="_Toc37968480"/>
      <w:bookmarkStart w:id="137" w:name="_Toc37955944"/>
      <w:bookmarkStart w:id="138" w:name="_Toc41037485"/>
      <w:bookmarkStart w:id="139" w:name="_Toc218571370"/>
      <w:r>
        <w:rPr>
          <w:rFonts w:hint="eastAsia" w:ascii="仿宋" w:hAnsi="仿宋" w:eastAsia="仿宋" w:cs="黑体"/>
          <w:sz w:val="32"/>
          <w:szCs w:val="32"/>
        </w:rPr>
        <w:t>第三十条【不动产登记】</w:t>
      </w:r>
      <w:bookmarkEnd w:id="135"/>
      <w:bookmarkEnd w:id="136"/>
      <w:bookmarkEnd w:id="137"/>
      <w:bookmarkEnd w:id="138"/>
      <w:bookmarkEnd w:id="139"/>
    </w:p>
    <w:p>
      <w:pPr>
        <w:autoSpaceDE w:val="0"/>
        <w:autoSpaceDN w:val="0"/>
        <w:adjustRightInd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本市新建社会投资简易低风险工程建设项目的竣工验收和不动产登记同步申请，免缴不动产登记费，不动产登记后企业可以一次性获取联合验收意见书和不动产权证电子证照。</w:t>
      </w:r>
    </w:p>
    <w:p>
      <w:pPr>
        <w:autoSpaceDE w:val="0"/>
        <w:autoSpaceDN w:val="0"/>
        <w:adjustRightInd w:val="0"/>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不动产登记机构应当与住房城乡建设部门、税务机关、公用企事业单位、金融机构等加强协作，对企业间不动产转移登记办理实行一窗受理、当场缴税、当场发证、一次完成，并逐步实现电力、供排水、燃气、网络过户与不动产登记同步办理。</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单位和个人可以按照不动产坐落位置、不动产权属证书号、不动产单元号等索引信息免费查询非住宅类、且权利人为法人和非法人组织的不动产权利人信息等登记信息和地籍图信息，但涉及国家秘密的除外。对于不动产是否存在权利负担、司法限制等信息，申请人可以自助免费获取。</w:t>
      </w:r>
    </w:p>
    <w:p>
      <w:pPr>
        <w:spacing w:line="560" w:lineRule="exact"/>
        <w:ind w:firstLine="640" w:firstLineChars="200"/>
        <w:outlineLvl w:val="1"/>
        <w:rPr>
          <w:rFonts w:ascii="仿宋" w:hAnsi="仿宋" w:eastAsia="仿宋"/>
          <w:sz w:val="32"/>
          <w:szCs w:val="32"/>
        </w:rPr>
      </w:pPr>
      <w:bookmarkStart w:id="140" w:name="_Toc37968481"/>
      <w:bookmarkStart w:id="141" w:name="_Toc218571371"/>
      <w:bookmarkStart w:id="142" w:name="_Toc37955945"/>
      <w:bookmarkStart w:id="143" w:name="_Toc37347988"/>
      <w:bookmarkStart w:id="144" w:name="_Toc41037486"/>
      <w:r>
        <w:rPr>
          <w:rFonts w:hint="eastAsia" w:ascii="仿宋" w:hAnsi="仿宋" w:eastAsia="仿宋" w:cs="黑体"/>
          <w:sz w:val="32"/>
          <w:szCs w:val="32"/>
        </w:rPr>
        <w:t>第三十一条</w:t>
      </w:r>
      <w:r>
        <w:rPr>
          <w:rFonts w:ascii="仿宋" w:hAnsi="仿宋" w:eastAsia="仿宋" w:cs="黑体"/>
          <w:sz w:val="32"/>
          <w:szCs w:val="32"/>
        </w:rPr>
        <w:t xml:space="preserve"> </w:t>
      </w:r>
      <w:bookmarkEnd w:id="140"/>
      <w:bookmarkEnd w:id="141"/>
      <w:bookmarkEnd w:id="142"/>
      <w:bookmarkEnd w:id="143"/>
      <w:r>
        <w:rPr>
          <w:rFonts w:hint="eastAsia" w:ascii="仿宋" w:hAnsi="仿宋" w:eastAsia="仿宋" w:cs="黑体"/>
          <w:sz w:val="32"/>
          <w:szCs w:val="32"/>
        </w:rPr>
        <w:t>【突发事件扶持】</w:t>
      </w:r>
      <w:bookmarkEnd w:id="144"/>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建立突发事件动态分析评估和反馈机制，对易遭遇风险的行业、企业、设施、场所制定安全保护应急处理方案，纳入应急预案。</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建立社会动员机制，鼓励市场主体开展互助，采取调整薪酬、弹性工时、轮岗轮休等方式，稳定劳动关系，维持运行并及时复工复产；</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组织评估突发事件对本地区经济的影响，对重点行业可以委托第三方专业机构评估，根据评估结果制定实施救助、补偿、补贴、减免、返还、安置等措施，鼓励金融机构给予延期还贷、展期续贷、降低利率和减免利息支持。为市场主体寻求法律救济提供必要帮助。</w:t>
      </w:r>
    </w:p>
    <w:p>
      <w:pPr>
        <w:spacing w:line="560" w:lineRule="exact"/>
        <w:ind w:firstLine="640" w:firstLineChars="200"/>
        <w:rPr>
          <w:rFonts w:ascii="仿宋" w:hAnsi="仿宋" w:eastAsia="仿宋" w:cs="仿宋_GB2312"/>
          <w:sz w:val="32"/>
          <w:szCs w:val="32"/>
        </w:rPr>
      </w:pPr>
    </w:p>
    <w:p>
      <w:pPr>
        <w:spacing w:line="560" w:lineRule="exact"/>
        <w:ind w:firstLine="640" w:firstLineChars="200"/>
        <w:jc w:val="center"/>
        <w:outlineLvl w:val="0"/>
        <w:rPr>
          <w:rFonts w:ascii="仿宋" w:hAnsi="仿宋" w:eastAsia="仿宋"/>
          <w:sz w:val="32"/>
          <w:szCs w:val="32"/>
        </w:rPr>
      </w:pPr>
      <w:bookmarkStart w:id="145" w:name="_Toc37968483"/>
      <w:bookmarkStart w:id="146" w:name="_Toc41037488"/>
      <w:r>
        <w:rPr>
          <w:rFonts w:hint="eastAsia" w:ascii="仿宋" w:hAnsi="仿宋" w:eastAsia="仿宋" w:cs="黑体"/>
          <w:sz w:val="32"/>
          <w:szCs w:val="32"/>
        </w:rPr>
        <w:t>第四章</w:t>
      </w:r>
      <w:r>
        <w:rPr>
          <w:rFonts w:ascii="仿宋" w:hAnsi="仿宋" w:eastAsia="仿宋" w:cs="黑体"/>
          <w:sz w:val="32"/>
          <w:szCs w:val="32"/>
        </w:rPr>
        <w:t xml:space="preserve"> </w:t>
      </w:r>
      <w:r>
        <w:rPr>
          <w:rFonts w:hint="eastAsia" w:ascii="仿宋" w:hAnsi="仿宋" w:eastAsia="仿宋" w:cs="黑体"/>
          <w:sz w:val="32"/>
          <w:szCs w:val="32"/>
        </w:rPr>
        <w:t>开放创新</w:t>
      </w:r>
      <w:bookmarkEnd w:id="145"/>
      <w:bookmarkEnd w:id="146"/>
    </w:p>
    <w:p>
      <w:pPr>
        <w:spacing w:line="560" w:lineRule="exact"/>
        <w:ind w:firstLine="640" w:firstLineChars="200"/>
        <w:jc w:val="center"/>
        <w:outlineLvl w:val="0"/>
        <w:rPr>
          <w:rFonts w:ascii="仿宋" w:hAnsi="仿宋" w:eastAsia="仿宋"/>
          <w:sz w:val="32"/>
          <w:szCs w:val="32"/>
        </w:rPr>
      </w:pPr>
    </w:p>
    <w:p>
      <w:pPr>
        <w:spacing w:line="560" w:lineRule="exact"/>
        <w:ind w:firstLine="640" w:firstLineChars="200"/>
        <w:outlineLvl w:val="1"/>
        <w:rPr>
          <w:rFonts w:ascii="仿宋" w:hAnsi="仿宋" w:eastAsia="仿宋" w:cs="仿宋_GB2312"/>
          <w:sz w:val="32"/>
          <w:szCs w:val="32"/>
        </w:rPr>
      </w:pPr>
      <w:bookmarkStart w:id="147" w:name="_Toc37955948"/>
      <w:bookmarkStart w:id="148" w:name="_Toc37966936"/>
      <w:bookmarkStart w:id="149" w:name="_Toc37968486"/>
      <w:bookmarkStart w:id="150" w:name="_Toc41037489"/>
      <w:bookmarkStart w:id="151" w:name="_Toc37966935"/>
      <w:bookmarkStart w:id="152" w:name="_Toc37968484"/>
      <w:r>
        <w:rPr>
          <w:rFonts w:hint="eastAsia" w:ascii="仿宋" w:hAnsi="仿宋" w:eastAsia="仿宋" w:cs="仿宋_GB2312"/>
          <w:sz w:val="32"/>
          <w:szCs w:val="32"/>
        </w:rPr>
        <w:t>第三十二条</w:t>
      </w:r>
      <w:bookmarkEnd w:id="147"/>
      <w:bookmarkEnd w:id="148"/>
      <w:bookmarkEnd w:id="149"/>
      <w:r>
        <w:rPr>
          <w:rFonts w:hint="eastAsia" w:ascii="仿宋" w:hAnsi="仿宋" w:eastAsia="仿宋" w:cs="仿宋_GB2312"/>
          <w:sz w:val="32"/>
          <w:szCs w:val="32"/>
        </w:rPr>
        <w:t>【先行先试】</w:t>
      </w:r>
      <w:bookmarkEnd w:id="150"/>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本市立足开放改革创新的实践需要，根据国家授权及本省立法权限，通过地方性法规、政府规章开展先行先试立法。</w:t>
      </w:r>
    </w:p>
    <w:bookmarkEnd w:id="151"/>
    <w:bookmarkEnd w:id="152"/>
    <w:p>
      <w:pPr>
        <w:spacing w:line="560" w:lineRule="exact"/>
        <w:rPr>
          <w:rFonts w:ascii="仿宋" w:hAnsi="仿宋" w:eastAsia="仿宋" w:cs="仿宋_GB2312"/>
          <w:sz w:val="32"/>
          <w:szCs w:val="32"/>
        </w:rPr>
      </w:pPr>
      <w:r>
        <w:rPr>
          <w:rFonts w:hint="eastAsia" w:ascii="仿宋" w:hAnsi="仿宋" w:eastAsia="仿宋" w:cs="仿宋_GB2312"/>
          <w:sz w:val="32"/>
          <w:szCs w:val="32"/>
        </w:rPr>
        <w:t xml:space="preserve">    本市主动对接国家发展战略，争取国家、省综合授权和改革试点，加强陆海新通道与粤港澳大湾区战略衔接，打造沿海经济带东西翼增长极，建设</w:t>
      </w:r>
      <w:r>
        <w:rPr>
          <w:rFonts w:hint="eastAsia" w:ascii="仿宋" w:hAnsi="仿宋" w:eastAsia="仿宋" w:cs="仿宋_GB2312"/>
          <w:bCs/>
          <w:sz w:val="32"/>
          <w:szCs w:val="32"/>
        </w:rPr>
        <w:t>湛茂都市圈，</w:t>
      </w:r>
      <w:r>
        <w:rPr>
          <w:rFonts w:hint="eastAsia" w:ascii="仿宋" w:hAnsi="仿宋" w:eastAsia="仿宋" w:cs="仿宋_GB2312"/>
          <w:sz w:val="32"/>
          <w:szCs w:val="32"/>
        </w:rPr>
        <w:t>对接海南自由贸易港重要腹地，积极融入环北部湾经济圈，开拓东盟自由贸易区门户城市，先行先试有利于优化营商环境的各项改革措施。</w:t>
      </w:r>
    </w:p>
    <w:p>
      <w:pPr>
        <w:spacing w:line="560" w:lineRule="exact"/>
        <w:ind w:firstLine="640" w:firstLineChars="200"/>
        <w:outlineLvl w:val="1"/>
        <w:rPr>
          <w:rFonts w:ascii="仿宋" w:hAnsi="仿宋" w:eastAsia="仿宋" w:cs="仿宋_GB2312"/>
          <w:sz w:val="32"/>
          <w:szCs w:val="32"/>
        </w:rPr>
      </w:pPr>
      <w:bookmarkStart w:id="153" w:name="_Toc41037492"/>
      <w:r>
        <w:rPr>
          <w:rFonts w:hint="eastAsia" w:ascii="仿宋" w:hAnsi="仿宋" w:eastAsia="仿宋" w:cs="仿宋_GB2312"/>
          <w:sz w:val="32"/>
          <w:szCs w:val="32"/>
        </w:rPr>
        <w:t>第三十三条【数字经济发展】</w:t>
      </w:r>
      <w:bookmarkEnd w:id="153"/>
      <w:r>
        <w:rPr>
          <w:rFonts w:eastAsia="仿宋" w:cs="Calibri"/>
          <w:sz w:val="32"/>
          <w:szCs w:val="32"/>
        </w:rPr>
        <w:t> </w:t>
      </w:r>
      <w:r>
        <w:rPr>
          <w:rFonts w:hint="eastAsia" w:ascii="仿宋" w:hAnsi="仿宋" w:eastAsia="仿宋" w:cs="仿宋_GB2312"/>
          <w:sz w:val="32"/>
          <w:szCs w:val="32"/>
        </w:rPr>
        <w:t xml:space="preserve"> </w:t>
      </w:r>
    </w:p>
    <w:p>
      <w:pPr>
        <w:spacing w:line="560" w:lineRule="exact"/>
        <w:ind w:firstLine="640" w:firstLineChars="200"/>
        <w:outlineLvl w:val="1"/>
        <w:rPr>
          <w:rFonts w:ascii="仿宋" w:hAnsi="仿宋" w:eastAsia="仿宋" w:cs="仿宋_GB2312"/>
          <w:sz w:val="32"/>
          <w:szCs w:val="32"/>
        </w:rPr>
      </w:pPr>
      <w:r>
        <w:rPr>
          <w:rFonts w:hint="eastAsia" w:ascii="仿宋" w:hAnsi="仿宋" w:eastAsia="仿宋" w:cs="仿宋_GB2312"/>
          <w:sz w:val="32"/>
          <w:szCs w:val="32"/>
        </w:rPr>
        <w:t>本市培育数字经济新产业、新业态和新模式，支持构建工业、交通、城市管理等领域规范化数据开发利用场景，引导数字经济和实体经济深度融合，构建数字经济的生态系统。</w:t>
      </w:r>
    </w:p>
    <w:p>
      <w:pPr>
        <w:spacing w:line="560" w:lineRule="exact"/>
        <w:ind w:firstLine="640" w:firstLineChars="200"/>
        <w:outlineLvl w:val="1"/>
        <w:rPr>
          <w:rFonts w:ascii="仿宋" w:hAnsi="仿宋" w:eastAsia="仿宋" w:cs="仿宋_GB2312"/>
          <w:sz w:val="32"/>
          <w:szCs w:val="32"/>
        </w:rPr>
      </w:pPr>
      <w:r>
        <w:rPr>
          <w:rFonts w:hint="eastAsia" w:ascii="仿宋" w:hAnsi="仿宋" w:eastAsia="仿宋" w:cs="仿宋_GB2312"/>
          <w:sz w:val="32"/>
          <w:szCs w:val="32"/>
        </w:rPr>
        <w:t>支持企业建设各类工业互联网平台和供应链数字化平台，加强与产业供应链上下游的协同合作。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推进新技术、新产品应用场景的开放与建设。全部或者部分使用财政性资金的建设项目，具备条件的，应当开放应用场景。</w:t>
      </w:r>
    </w:p>
    <w:p>
      <w:pPr>
        <w:spacing w:line="560" w:lineRule="exact"/>
        <w:ind w:firstLine="640" w:firstLineChars="200"/>
        <w:outlineLvl w:val="1"/>
        <w:rPr>
          <w:rFonts w:ascii="仿宋" w:hAnsi="仿宋" w:eastAsia="仿宋" w:cs="仿宋_GB2312"/>
          <w:sz w:val="32"/>
          <w:szCs w:val="32"/>
        </w:rPr>
      </w:pPr>
      <w:bookmarkStart w:id="154" w:name="_Toc41037493"/>
      <w:bookmarkStart w:id="155" w:name="_Toc218571342"/>
      <w:bookmarkStart w:id="156" w:name="_Toc37955908"/>
      <w:bookmarkStart w:id="157" w:name="_Toc37966937"/>
      <w:bookmarkStart w:id="158" w:name="_Toc37968487"/>
      <w:r>
        <w:rPr>
          <w:rFonts w:hint="eastAsia" w:ascii="仿宋" w:hAnsi="仿宋" w:eastAsia="仿宋" w:cs="仿宋_GB2312"/>
          <w:sz w:val="32"/>
          <w:szCs w:val="32"/>
        </w:rPr>
        <w:t>第三十四条【产业供应链发展】</w:t>
      </w:r>
      <w:bookmarkEnd w:id="154"/>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本市支持企业建设产业供应链数字化平台，建立产业供应链风险预警和应对机制，加强与产业供应链上下游的协同合作。</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市、</w:t>
      </w:r>
      <w:r>
        <w:rPr>
          <w:rFonts w:hint="eastAsia" w:ascii="仿宋" w:hAnsi="仿宋" w:eastAsia="仿宋" w:cs="仿宋_GB2312"/>
          <w:sz w:val="32"/>
          <w:szCs w:val="32"/>
          <w:lang w:eastAsia="zh-CN"/>
        </w:rPr>
        <w:t>县（市、区）</w:t>
      </w:r>
      <w:r>
        <w:rPr>
          <w:rFonts w:hint="eastAsia" w:ascii="仿宋" w:hAnsi="仿宋" w:eastAsia="仿宋" w:cs="仿宋_GB2312"/>
          <w:sz w:val="32"/>
          <w:szCs w:val="32"/>
        </w:rPr>
        <w:t>人民政府及其有关部门应当建立健全应急供应链智慧分级响应和联防联控机制，建设应急用工、物流与供应链协同调度平台，根据应急响应级别、国内国际市场动态和本行政区域产业结构优化升级需要，为市场主体提供人力资源、设施设备、供给需求、知识产权保护和政策信息等服务。</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市、</w:t>
      </w:r>
      <w:r>
        <w:rPr>
          <w:rFonts w:hint="eastAsia" w:ascii="仿宋" w:hAnsi="仿宋" w:eastAsia="仿宋" w:cs="仿宋_GB2312"/>
          <w:sz w:val="32"/>
          <w:szCs w:val="32"/>
          <w:lang w:eastAsia="zh-CN"/>
        </w:rPr>
        <w:t>县（市、区）</w:t>
      </w:r>
      <w:r>
        <w:rPr>
          <w:rFonts w:hint="eastAsia" w:ascii="仿宋" w:hAnsi="仿宋" w:eastAsia="仿宋" w:cs="仿宋_GB2312"/>
          <w:sz w:val="32"/>
          <w:szCs w:val="32"/>
        </w:rPr>
        <w:t>人民政府及其有关部门应当采取下列措施，构建产业供应链协同发展服务体系：</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（一）推动内部体制机制互通；</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（二）破除生产要素的流通壁垒，推动资本、人才和知识等生产要素的自由流通；</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（三）建立跨区域产业合作创新平台和产业技术联盟，完善产业协同创新，推动资本、人才和知识等生产要素集聚，形成完备的创新产业生态链；</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（四）构建多层面、跨区域的产业合作协调机制，促进产业互补和产业合理布局。</w:t>
      </w:r>
    </w:p>
    <w:bookmarkEnd w:id="155"/>
    <w:bookmarkEnd w:id="156"/>
    <w:bookmarkEnd w:id="157"/>
    <w:bookmarkEnd w:id="158"/>
    <w:p>
      <w:pPr>
        <w:spacing w:line="560" w:lineRule="exact"/>
        <w:ind w:firstLine="640" w:firstLineChars="200"/>
        <w:outlineLvl w:val="1"/>
        <w:rPr>
          <w:rFonts w:ascii="仿宋" w:hAnsi="仿宋" w:eastAsia="仿宋" w:cs="仿宋_GB2312"/>
          <w:sz w:val="32"/>
          <w:szCs w:val="32"/>
        </w:rPr>
      </w:pPr>
      <w:bookmarkStart w:id="159" w:name="_Toc37966938"/>
      <w:bookmarkStart w:id="160" w:name="_Toc37955921"/>
      <w:bookmarkStart w:id="161" w:name="_Toc37968488"/>
      <w:bookmarkStart w:id="162" w:name="_Toc41037494"/>
      <w:bookmarkStart w:id="163" w:name="_Toc218571369"/>
      <w:r>
        <w:rPr>
          <w:rFonts w:hint="eastAsia" w:ascii="仿宋" w:hAnsi="仿宋" w:eastAsia="仿宋" w:cs="仿宋_GB2312"/>
          <w:sz w:val="32"/>
          <w:szCs w:val="32"/>
        </w:rPr>
        <w:t>第三十五条</w:t>
      </w:r>
      <w:r>
        <w:rPr>
          <w:rFonts w:ascii="仿宋" w:hAnsi="仿宋" w:eastAsia="仿宋" w:cs="仿宋_GB2312"/>
          <w:sz w:val="32"/>
          <w:szCs w:val="32"/>
        </w:rPr>
        <w:t xml:space="preserve"> </w:t>
      </w:r>
      <w:r>
        <w:rPr>
          <w:rFonts w:hint="eastAsia" w:ascii="仿宋" w:hAnsi="仿宋" w:eastAsia="仿宋" w:cs="仿宋_GB2312"/>
          <w:sz w:val="32"/>
          <w:szCs w:val="32"/>
        </w:rPr>
        <w:t>【产业和招商】</w:t>
      </w:r>
      <w:bookmarkEnd w:id="159"/>
      <w:bookmarkEnd w:id="160"/>
      <w:bookmarkEnd w:id="161"/>
      <w:bookmarkEnd w:id="162"/>
      <w:bookmarkEnd w:id="163"/>
    </w:p>
    <w:p>
      <w:pPr>
        <w:spacing w:line="560" w:lineRule="exact"/>
        <w:ind w:firstLine="640" w:firstLineChars="200"/>
        <w:outlineLvl w:val="1"/>
        <w:rPr>
          <w:rFonts w:ascii="仿宋" w:hAnsi="仿宋" w:eastAsia="仿宋" w:cs="仿宋_GB2312"/>
          <w:sz w:val="32"/>
          <w:szCs w:val="32"/>
        </w:rPr>
      </w:pPr>
      <w:r>
        <w:rPr>
          <w:rFonts w:hint="eastAsia" w:ascii="仿宋" w:hAnsi="仿宋" w:eastAsia="仿宋" w:cs="仿宋_GB2312"/>
          <w:sz w:val="32"/>
          <w:szCs w:val="32"/>
        </w:rPr>
        <w:t>大力扶持产业园区建设，及时公布产业平台、工业园区等招商计划，对重点招商对象和项目，创建一站式服务机制。</w:t>
      </w:r>
    </w:p>
    <w:p>
      <w:pPr>
        <w:spacing w:line="560" w:lineRule="exact"/>
        <w:ind w:firstLine="640" w:firstLineChars="200"/>
        <w:outlineLvl w:val="1"/>
        <w:rPr>
          <w:rFonts w:ascii="仿宋" w:hAnsi="仿宋" w:eastAsia="仿宋" w:cs="仿宋_GB2312"/>
          <w:sz w:val="32"/>
          <w:szCs w:val="32"/>
        </w:rPr>
      </w:pPr>
      <w:r>
        <w:rPr>
          <w:rFonts w:hint="eastAsia" w:ascii="仿宋" w:hAnsi="仿宋" w:eastAsia="仿宋" w:cs="仿宋_GB2312"/>
          <w:sz w:val="32"/>
          <w:szCs w:val="32"/>
        </w:rPr>
        <w:t>重点鼓励产业园区运营方利用新兴技术开展产业招商服务，鼓励全市产业园区衔接互认机制。</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应当建立招商项目落地保障和承诺办结责任制，对重大招商项目提供绿色通道服务。本市建立适应总部机构和研发中心运营的差异化营商管理服务体系。</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鼓励各类企业在本市设立总部机构、研发中心，鼓励与本市国际商贸中心、综合交通枢纽和科技教育文化中心建设密切相关的跨国企业、国际组织落户本市。</w:t>
      </w:r>
      <w:bookmarkStart w:id="164" w:name="_Toc37966940"/>
      <w:bookmarkStart w:id="165" w:name="_Toc37968490"/>
      <w:bookmarkStart w:id="166" w:name="_Toc37955905"/>
      <w:bookmarkStart w:id="167" w:name="_Toc218571337"/>
    </w:p>
    <w:bookmarkEnd w:id="164"/>
    <w:bookmarkEnd w:id="165"/>
    <w:p>
      <w:pPr>
        <w:spacing w:line="560" w:lineRule="exact"/>
        <w:ind w:firstLine="480" w:firstLineChars="200"/>
        <w:outlineLvl w:val="1"/>
        <w:rPr>
          <w:rFonts w:ascii="仿宋" w:hAnsi="仿宋" w:eastAsia="仿宋" w:cs="仿宋_GB2312"/>
          <w:sz w:val="32"/>
          <w:szCs w:val="32"/>
        </w:rPr>
      </w:pPr>
      <w:r>
        <w:rPr>
          <w:rFonts w:eastAsia="仿宋" w:cs="Calibri"/>
          <w:sz w:val="24"/>
          <w:szCs w:val="24"/>
        </w:rPr>
        <w:t>  </w:t>
      </w:r>
      <w:bookmarkStart w:id="168" w:name="_Toc37968492"/>
      <w:bookmarkStart w:id="169" w:name="_Toc41037499"/>
      <w:bookmarkStart w:id="170" w:name="_Toc37966942"/>
      <w:r>
        <w:rPr>
          <w:rFonts w:hint="eastAsia" w:ascii="仿宋" w:hAnsi="仿宋" w:eastAsia="仿宋" w:cs="仿宋_GB2312"/>
          <w:sz w:val="32"/>
          <w:szCs w:val="32"/>
        </w:rPr>
        <w:t>第三十六条【人才发展】</w:t>
      </w:r>
      <w:bookmarkEnd w:id="168"/>
      <w:bookmarkEnd w:id="169"/>
      <w:bookmarkEnd w:id="170"/>
    </w:p>
    <w:p>
      <w:pPr>
        <w:spacing w:line="560" w:lineRule="exact"/>
        <w:ind w:firstLine="640" w:firstLineChars="200"/>
        <w:outlineLvl w:val="1"/>
        <w:rPr>
          <w:rFonts w:ascii="仿宋" w:hAnsi="仿宋" w:eastAsia="仿宋" w:cs="仿宋_GB2312"/>
          <w:sz w:val="32"/>
          <w:szCs w:val="32"/>
        </w:rPr>
      </w:pPr>
      <w:r>
        <w:rPr>
          <w:rFonts w:hint="eastAsia" w:ascii="仿宋" w:hAnsi="仿宋" w:eastAsia="仿宋" w:cs="仿宋_GB2312"/>
          <w:sz w:val="32"/>
          <w:szCs w:val="32"/>
        </w:rPr>
        <w:t>各级政府及其有关部门制定人才评价标准时，应当将同行评价、市场评价和社会评价纳入评价要素，突出用人单位等市场主体的主导地位。鼓励和支持企业建立首席技师制度，完善首席技师认定、聘用和考核等机制。</w:t>
      </w:r>
    </w:p>
    <w:p>
      <w:pPr>
        <w:spacing w:line="560" w:lineRule="exact"/>
        <w:ind w:firstLine="640" w:firstLineChars="200"/>
        <w:outlineLvl w:val="1"/>
        <w:rPr>
          <w:rFonts w:ascii="仿宋" w:hAnsi="仿宋" w:eastAsia="仿宋" w:cs="仿宋_GB2312"/>
          <w:sz w:val="32"/>
          <w:szCs w:val="32"/>
        </w:rPr>
      </w:pPr>
      <w:r>
        <w:rPr>
          <w:rFonts w:hint="eastAsia" w:ascii="仿宋" w:hAnsi="仿宋" w:eastAsia="仿宋" w:cs="仿宋_GB2312"/>
          <w:sz w:val="32"/>
          <w:szCs w:val="32"/>
        </w:rPr>
        <w:t>人力资源社会保障部门应当组织协调有关部门，统筹推进人才公共服务体系建设，完善人才培养、引进、激励、服务保障机制，设立人才综合服务平台、窗口。科技、公安等部门应当组织设立外籍人才服务专区，为外籍人才出入境、停居留等提供便利。</w:t>
      </w:r>
    </w:p>
    <w:p>
      <w:pPr>
        <w:spacing w:line="560" w:lineRule="exact"/>
        <w:ind w:firstLine="640" w:firstLineChars="200"/>
        <w:outlineLvl w:val="1"/>
        <w:rPr>
          <w:rFonts w:ascii="仿宋" w:hAnsi="仿宋" w:eastAsia="仿宋" w:cs="仿宋_GB2312"/>
          <w:sz w:val="32"/>
          <w:szCs w:val="32"/>
        </w:rPr>
      </w:pPr>
      <w:r>
        <w:rPr>
          <w:rFonts w:hint="eastAsia" w:ascii="仿宋" w:hAnsi="仿宋" w:eastAsia="仿宋" w:cs="仿宋_GB2312"/>
          <w:sz w:val="32"/>
          <w:szCs w:val="32"/>
        </w:rPr>
        <w:t>推进人才服务市场化发展，鼓励、支持各类人力资源服务机构和社会组织，为人才提供个性化和多样化服务。</w:t>
      </w:r>
    </w:p>
    <w:p>
      <w:pPr>
        <w:spacing w:line="560" w:lineRule="exact"/>
        <w:ind w:firstLine="600" w:firstLineChars="250"/>
        <w:outlineLvl w:val="1"/>
        <w:rPr>
          <w:rFonts w:ascii="仿宋" w:hAnsi="仿宋" w:eastAsia="仿宋" w:cs="黑体"/>
          <w:sz w:val="32"/>
          <w:szCs w:val="32"/>
        </w:rPr>
      </w:pPr>
      <w:r>
        <w:rPr>
          <w:rFonts w:eastAsia="仿宋" w:cs="Calibri"/>
          <w:kern w:val="0"/>
          <w:sz w:val="24"/>
          <w:szCs w:val="24"/>
        </w:rPr>
        <w:t>  </w:t>
      </w:r>
      <w:bookmarkStart w:id="171" w:name="_Toc37966943"/>
      <w:bookmarkStart w:id="172" w:name="_Toc37968493"/>
      <w:bookmarkStart w:id="173" w:name="_Toc41037500"/>
      <w:r>
        <w:rPr>
          <w:rFonts w:hint="eastAsia" w:ascii="仿宋" w:hAnsi="仿宋" w:eastAsia="仿宋" w:cs="黑体"/>
          <w:sz w:val="32"/>
          <w:szCs w:val="32"/>
        </w:rPr>
        <w:t>第三十七条</w:t>
      </w:r>
      <w:bookmarkEnd w:id="166"/>
      <w:bookmarkEnd w:id="167"/>
      <w:bookmarkEnd w:id="171"/>
      <w:bookmarkEnd w:id="172"/>
      <w:r>
        <w:rPr>
          <w:rFonts w:hint="eastAsia" w:ascii="仿宋" w:hAnsi="仿宋" w:eastAsia="仿宋" w:cs="黑体"/>
          <w:sz w:val="32"/>
          <w:szCs w:val="32"/>
        </w:rPr>
        <w:t>【自主研发支持】</w:t>
      </w:r>
      <w:bookmarkEnd w:id="173"/>
    </w:p>
    <w:p>
      <w:pPr>
        <w:shd w:val="clear" w:color="auto" w:fill="FFFFFF"/>
        <w:spacing w:line="56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本市</w:t>
      </w:r>
      <w:r>
        <w:rPr>
          <w:rFonts w:hint="eastAsia" w:ascii="仿宋" w:hAnsi="仿宋" w:eastAsia="仿宋" w:cs="仿宋_GB2312"/>
          <w:sz w:val="32"/>
          <w:szCs w:val="32"/>
        </w:rPr>
        <w:t>鼓励和支持企业自主研发和自主创新，加大知识产权的投入，投保知识产权保险。推广和促进知识产权成果转化，依法保护企业知识产权权益和知识</w:t>
      </w:r>
      <w:r>
        <w:rPr>
          <w:rFonts w:hint="eastAsia" w:ascii="仿宋" w:hAnsi="仿宋" w:eastAsia="仿宋" w:cs="仿宋_GB2312"/>
          <w:kern w:val="0"/>
          <w:sz w:val="32"/>
          <w:szCs w:val="32"/>
        </w:rPr>
        <w:t>产权成果转化收益，促进和提高企业运用、管理和保护知识产权的能力。</w:t>
      </w:r>
    </w:p>
    <w:p>
      <w:pPr>
        <w:shd w:val="clear" w:color="auto" w:fill="FFFFFF"/>
        <w:spacing w:line="56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本市支持知识产权证券化。鼓励以专利许可与反向二次许可等创新方式开展知识产权证券化；专利资产通过融资平台获得融资的，专利许可人支付的属于融资利息的部分，可以依法作为企业财务费用在税前扣除。</w:t>
      </w:r>
    </w:p>
    <w:p>
      <w:pPr>
        <w:spacing w:line="560" w:lineRule="exact"/>
        <w:ind w:firstLine="800" w:firstLineChars="250"/>
        <w:outlineLvl w:val="1"/>
        <w:rPr>
          <w:rFonts w:ascii="仿宋" w:hAnsi="仿宋" w:eastAsia="仿宋" w:cs="宋体"/>
          <w:kern w:val="0"/>
          <w:sz w:val="32"/>
          <w:szCs w:val="32"/>
        </w:rPr>
      </w:pPr>
      <w:bookmarkStart w:id="174" w:name="_Toc41037501"/>
      <w:r>
        <w:rPr>
          <w:rFonts w:hint="eastAsia" w:ascii="仿宋" w:hAnsi="仿宋" w:eastAsia="仿宋" w:cs="宋体"/>
          <w:kern w:val="0"/>
          <w:sz w:val="32"/>
          <w:szCs w:val="32"/>
        </w:rPr>
        <w:t>第三十八条【知识产权保护】</w:t>
      </w:r>
      <w:bookmarkEnd w:id="174"/>
    </w:p>
    <w:p>
      <w:pPr>
        <w:spacing w:line="560" w:lineRule="exact"/>
        <w:ind w:firstLine="800" w:firstLineChars="250"/>
        <w:outlineLvl w:val="1"/>
        <w:rPr>
          <w:rFonts w:ascii="仿宋" w:hAnsi="仿宋" w:eastAsia="仿宋" w:cs="宋体"/>
          <w:kern w:val="0"/>
          <w:sz w:val="32"/>
          <w:szCs w:val="32"/>
        </w:rPr>
      </w:pPr>
      <w:r>
        <w:rPr>
          <w:rFonts w:hint="eastAsia" w:ascii="仿宋" w:hAnsi="仿宋" w:eastAsia="仿宋" w:cs="宋体"/>
          <w:kern w:val="0"/>
          <w:sz w:val="32"/>
          <w:szCs w:val="32"/>
        </w:rPr>
        <w:t>市、</w:t>
      </w:r>
      <w:r>
        <w:rPr>
          <w:rFonts w:hint="eastAsia" w:ascii="仿宋" w:hAnsi="仿宋" w:eastAsia="仿宋" w:cs="宋体"/>
          <w:kern w:val="0"/>
          <w:sz w:val="32"/>
          <w:szCs w:val="32"/>
          <w:lang w:eastAsia="zh-CN"/>
        </w:rPr>
        <w:t>县（市、区）</w:t>
      </w:r>
      <w:r>
        <w:rPr>
          <w:rFonts w:hint="eastAsia" w:ascii="仿宋" w:hAnsi="仿宋" w:eastAsia="仿宋" w:cs="宋体"/>
          <w:kern w:val="0"/>
          <w:sz w:val="32"/>
          <w:szCs w:val="32"/>
        </w:rPr>
        <w:t>人民政府应当组织建立知识产权侵权预警、维权援助和快速协同保护机制，完善行政机关之间、行政机关与司法机关之间的案件移送和线索通报制度。</w:t>
      </w:r>
    </w:p>
    <w:p>
      <w:pPr>
        <w:spacing w:line="560" w:lineRule="exact"/>
        <w:outlineLvl w:val="1"/>
        <w:rPr>
          <w:rFonts w:ascii="仿宋" w:hAnsi="仿宋" w:eastAsia="仿宋" w:cs="宋体"/>
          <w:kern w:val="0"/>
          <w:sz w:val="32"/>
          <w:szCs w:val="32"/>
        </w:rPr>
      </w:pPr>
      <w:r>
        <w:rPr>
          <w:rFonts w:hint="eastAsia" w:ascii="仿宋" w:hAnsi="仿宋" w:eastAsia="仿宋" w:cs="宋体"/>
          <w:kern w:val="0"/>
          <w:sz w:val="32"/>
          <w:szCs w:val="32"/>
        </w:rPr>
        <w:t xml:space="preserve">    知识产权部门应当组织建设知识产权公共服务平台，为知识产权保护提供政策指导、技术咨询等公共服务。</w:t>
      </w:r>
    </w:p>
    <w:p>
      <w:pPr>
        <w:shd w:val="clear" w:color="auto" w:fill="FFFFFF"/>
        <w:spacing w:line="560" w:lineRule="exact"/>
        <w:ind w:firstLine="640" w:firstLineChars="200"/>
        <w:rPr>
          <w:rFonts w:ascii="仿宋" w:hAnsi="仿宋" w:eastAsia="仿宋" w:cs="仿宋_GB2312"/>
          <w:kern w:val="0"/>
          <w:sz w:val="32"/>
          <w:szCs w:val="32"/>
        </w:rPr>
      </w:pPr>
      <w:r>
        <w:rPr>
          <w:rFonts w:hint="eastAsia" w:ascii="仿宋" w:hAnsi="仿宋" w:eastAsia="仿宋" w:cs="仿宋_GB2312"/>
          <w:sz w:val="32"/>
          <w:szCs w:val="32"/>
        </w:rPr>
        <w:t>建立知识产权侵权惩罚性赔偿制度，推广适用技术调查官制度、举证妨碍规则；推行知识产权诉讼支持制度，建立知识产权公益</w:t>
      </w:r>
      <w:r>
        <w:rPr>
          <w:rFonts w:hint="eastAsia" w:ascii="仿宋" w:hAnsi="仿宋" w:eastAsia="仿宋" w:cs="仿宋_GB2312"/>
          <w:kern w:val="0"/>
          <w:sz w:val="32"/>
          <w:szCs w:val="32"/>
        </w:rPr>
        <w:t>诉讼制度。</w:t>
      </w:r>
    </w:p>
    <w:p>
      <w:pPr>
        <w:spacing w:line="560" w:lineRule="exact"/>
        <w:ind w:firstLine="640" w:firstLineChars="200"/>
        <w:outlineLvl w:val="1"/>
        <w:rPr>
          <w:rFonts w:ascii="仿宋" w:hAnsi="仿宋" w:eastAsia="仿宋" w:cs="仿宋_GB2312"/>
          <w:sz w:val="32"/>
          <w:szCs w:val="32"/>
        </w:rPr>
      </w:pPr>
      <w:bookmarkStart w:id="175" w:name="_Toc218571363"/>
      <w:bookmarkStart w:id="176" w:name="_Toc37955914"/>
      <w:bookmarkStart w:id="177" w:name="_Toc41037502"/>
      <w:bookmarkStart w:id="178" w:name="_Toc37968494"/>
      <w:bookmarkStart w:id="179" w:name="_Toc37966944"/>
      <w:r>
        <w:rPr>
          <w:rFonts w:hint="eastAsia" w:ascii="仿宋" w:hAnsi="仿宋" w:eastAsia="仿宋" w:cs="仿宋_GB2312"/>
          <w:sz w:val="32"/>
          <w:szCs w:val="32"/>
        </w:rPr>
        <w:t>第三十九条【普惠创新】</w:t>
      </w:r>
      <w:bookmarkEnd w:id="175"/>
      <w:bookmarkEnd w:id="176"/>
      <w:bookmarkEnd w:id="177"/>
      <w:bookmarkEnd w:id="178"/>
      <w:bookmarkEnd w:id="179"/>
    </w:p>
    <w:p>
      <w:pPr>
        <w:spacing w:line="560" w:lineRule="exact"/>
        <w:ind w:firstLine="640" w:firstLineChars="200"/>
        <w:outlineLvl w:val="1"/>
        <w:rPr>
          <w:rFonts w:ascii="仿宋" w:hAnsi="仿宋" w:eastAsia="仿宋" w:cs="仿宋_GB2312"/>
          <w:sz w:val="32"/>
          <w:szCs w:val="32"/>
        </w:rPr>
      </w:pPr>
      <w:r>
        <w:rPr>
          <w:rFonts w:hint="eastAsia" w:ascii="仿宋" w:hAnsi="仿宋" w:eastAsia="仿宋" w:cs="仿宋_GB2312"/>
          <w:sz w:val="32"/>
          <w:szCs w:val="32"/>
        </w:rPr>
        <w:t>本市鼓励和引导社会资本参与创新创业投资。发挥政府资金的引导作用，完善国有资本开展创新创业投资的监督考核和激励约束机制。政府投资基金等国有创业投资企业应当提升市场化运作效率，可以对创新创业企业和社会出资人给予支持，采取协议转让等符合行业特点和发展规律的方式退出。</w:t>
      </w:r>
    </w:p>
    <w:p>
      <w:pPr>
        <w:spacing w:line="560" w:lineRule="exact"/>
        <w:outlineLvl w:val="1"/>
        <w:rPr>
          <w:rFonts w:ascii="仿宋" w:hAnsi="仿宋" w:eastAsia="仿宋" w:cs="仿宋_GB2312"/>
          <w:sz w:val="32"/>
          <w:szCs w:val="32"/>
        </w:rPr>
      </w:pPr>
      <w:r>
        <w:rPr>
          <w:rFonts w:ascii="仿宋" w:hAnsi="仿宋" w:eastAsia="仿宋" w:cs="仿宋_GB2312"/>
          <w:sz w:val="32"/>
          <w:szCs w:val="32"/>
        </w:rPr>
        <w:t xml:space="preserve">    </w:t>
      </w:r>
      <w:r>
        <w:rPr>
          <w:rFonts w:hint="eastAsia" w:ascii="仿宋" w:hAnsi="仿宋" w:eastAsia="仿宋" w:cs="仿宋_GB2312"/>
          <w:sz w:val="32"/>
          <w:szCs w:val="32"/>
        </w:rPr>
        <w:t>鼓励银行业金融机构开发相关金融产品，完善与小微企业的协作机制，加大对小微企业的支持力度。</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建立政策性融资担保体系，发展政策性融资担保机构，鼓励和支持知识产权金融创新，完善知识产权质押融资机制，建立普惠型贷款风险补偿机制，支持符合产业政策、有市场发展前景的中小微企业和科技创新型企业发展。</w:t>
      </w:r>
    </w:p>
    <w:p>
      <w:pPr>
        <w:spacing w:line="560" w:lineRule="exact"/>
        <w:ind w:firstLine="640" w:firstLineChars="200"/>
        <w:outlineLvl w:val="1"/>
        <w:rPr>
          <w:rFonts w:ascii="仿宋" w:hAnsi="仿宋" w:eastAsia="仿宋" w:cs="仿宋_GB2312"/>
          <w:sz w:val="32"/>
          <w:szCs w:val="32"/>
        </w:rPr>
      </w:pPr>
      <w:bookmarkStart w:id="180" w:name="_Toc218571368"/>
      <w:bookmarkStart w:id="181" w:name="_Toc37968495"/>
      <w:bookmarkStart w:id="182" w:name="_Toc41037503"/>
      <w:bookmarkStart w:id="183" w:name="_Toc37966945"/>
      <w:bookmarkStart w:id="184" w:name="_Toc37955943"/>
      <w:r>
        <w:rPr>
          <w:rFonts w:hint="eastAsia" w:ascii="仿宋" w:hAnsi="仿宋" w:eastAsia="仿宋" w:cs="仿宋_GB2312"/>
          <w:sz w:val="32"/>
          <w:szCs w:val="32"/>
        </w:rPr>
        <w:t>第四十条【高效通关】</w:t>
      </w:r>
      <w:bookmarkEnd w:id="180"/>
      <w:bookmarkEnd w:id="181"/>
      <w:bookmarkEnd w:id="182"/>
      <w:bookmarkEnd w:id="183"/>
      <w:bookmarkEnd w:id="184"/>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本市建立进出口货物全球质量溯源体系，优化通关流程，提高通关效率，完善企业提前申报</w:t>
      </w:r>
      <w:r>
        <w:rPr>
          <w:rFonts w:ascii="仿宋" w:hAnsi="仿宋" w:eastAsia="仿宋" w:cs="仿宋_GB2312"/>
          <w:sz w:val="32"/>
          <w:szCs w:val="32"/>
        </w:rPr>
        <w:t>等</w:t>
      </w:r>
      <w:r>
        <w:rPr>
          <w:rFonts w:hint="eastAsia" w:ascii="仿宋" w:hAnsi="仿宋" w:eastAsia="仿宋" w:cs="仿宋_GB2312"/>
          <w:sz w:val="32"/>
          <w:szCs w:val="32"/>
        </w:rPr>
        <w:t>申报方式，深化申报容错机制和主动披露容错机制，积极推广各类便利化口岸通关措施；依照有关规定推行先验放后检测、先放行后缴税、先放行后改单等创新模式。</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市建立完善国际贸易单一窗口跨部门综合服务管理平台，完善货物申报、舱单申报、运输工具申报、跨境电商、市场采购等服务功能。推进进出口企业、船公司、船代、货代等不同主体之间的合作对接和信息对碰，实现口岸“通关</w:t>
      </w:r>
      <w:r>
        <w:rPr>
          <w:rFonts w:ascii="仿宋" w:hAnsi="仿宋" w:eastAsia="仿宋" w:cs="仿宋_GB2312"/>
          <w:sz w:val="32"/>
          <w:szCs w:val="32"/>
        </w:rPr>
        <w:t>+</w:t>
      </w:r>
      <w:r>
        <w:rPr>
          <w:rFonts w:hint="eastAsia" w:ascii="仿宋" w:hAnsi="仿宋" w:eastAsia="仿宋" w:cs="仿宋_GB2312"/>
          <w:sz w:val="32"/>
          <w:szCs w:val="32"/>
        </w:rPr>
        <w:t>物流”的一体化服务联动。</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市场监管、交通运输、发展改革、商务、口岸、港务等部门应当加强口岸收费目录清单管理。收费主体应当在国际贸易单一窗口公开收费目录和收费标准，不得在目录以外收取费用。</w:t>
      </w:r>
    </w:p>
    <w:p>
      <w:pPr>
        <w:spacing w:line="560" w:lineRule="exact"/>
        <w:rPr>
          <w:rFonts w:ascii="仿宋" w:hAnsi="仿宋" w:eastAsia="仿宋"/>
        </w:rPr>
      </w:pPr>
    </w:p>
    <w:p>
      <w:pPr>
        <w:spacing w:line="560" w:lineRule="exact"/>
        <w:ind w:firstLine="640" w:firstLineChars="200"/>
        <w:jc w:val="center"/>
        <w:outlineLvl w:val="0"/>
        <w:rPr>
          <w:rFonts w:ascii="仿宋" w:hAnsi="仿宋" w:eastAsia="仿宋" w:cs="黑体"/>
          <w:sz w:val="32"/>
          <w:szCs w:val="32"/>
        </w:rPr>
      </w:pPr>
      <w:bookmarkStart w:id="185" w:name="_Toc218571384"/>
      <w:bookmarkStart w:id="186" w:name="_Toc37968510"/>
      <w:bookmarkStart w:id="187" w:name="_Toc41037517"/>
      <w:bookmarkStart w:id="188" w:name="_Toc37348005"/>
      <w:bookmarkStart w:id="189" w:name="_Toc37954576"/>
      <w:r>
        <w:rPr>
          <w:rFonts w:hint="eastAsia" w:ascii="仿宋" w:hAnsi="仿宋" w:eastAsia="仿宋" w:cs="黑体"/>
          <w:sz w:val="32"/>
          <w:szCs w:val="32"/>
        </w:rPr>
        <w:t>第五章</w:t>
      </w:r>
      <w:r>
        <w:rPr>
          <w:rFonts w:ascii="仿宋" w:hAnsi="仿宋" w:eastAsia="仿宋" w:cs="黑体"/>
          <w:sz w:val="32"/>
          <w:szCs w:val="32"/>
        </w:rPr>
        <w:t xml:space="preserve"> </w:t>
      </w:r>
      <w:r>
        <w:rPr>
          <w:rFonts w:hint="eastAsia" w:ascii="仿宋" w:hAnsi="仿宋" w:eastAsia="仿宋" w:cs="黑体"/>
          <w:sz w:val="32"/>
          <w:szCs w:val="32"/>
        </w:rPr>
        <w:t>法治保障</w:t>
      </w:r>
      <w:bookmarkEnd w:id="185"/>
      <w:bookmarkEnd w:id="186"/>
      <w:bookmarkEnd w:id="187"/>
      <w:bookmarkEnd w:id="188"/>
      <w:bookmarkEnd w:id="189"/>
    </w:p>
    <w:p>
      <w:pPr>
        <w:rPr>
          <w:rFonts w:ascii="仿宋" w:hAnsi="仿宋" w:eastAsia="仿宋"/>
          <w:sz w:val="32"/>
          <w:szCs w:val="32"/>
        </w:rPr>
      </w:pPr>
    </w:p>
    <w:p>
      <w:pPr>
        <w:rPr>
          <w:rFonts w:ascii="仿宋" w:hAnsi="仿宋" w:eastAsia="仿宋"/>
          <w:sz w:val="32"/>
          <w:szCs w:val="32"/>
        </w:rPr>
      </w:pPr>
      <w:r>
        <w:rPr>
          <w:rFonts w:hint="eastAsia" w:ascii="仿宋" w:hAnsi="仿宋" w:eastAsia="仿宋"/>
          <w:sz w:val="32"/>
          <w:szCs w:val="32"/>
        </w:rPr>
        <w:t xml:space="preserve">    第四十一条【信用监管】</w:t>
      </w:r>
    </w:p>
    <w:p>
      <w:pPr>
        <w:ind w:firstLine="640" w:firstLineChars="200"/>
        <w:rPr>
          <w:rFonts w:hint="eastAsia" w:ascii="仿宋" w:hAnsi="仿宋" w:eastAsia="仿宋"/>
          <w:sz w:val="32"/>
          <w:szCs w:val="32"/>
        </w:rPr>
      </w:pPr>
      <w:r>
        <w:rPr>
          <w:rFonts w:hint="eastAsia" w:ascii="仿宋" w:hAnsi="仿宋" w:eastAsia="仿宋"/>
          <w:sz w:val="32"/>
          <w:szCs w:val="32"/>
        </w:rPr>
        <w:t>本市推行信用分级分类监管。市人民政府有关部门应当以公共信用信息综合评价结果等为依据，制定本行业、本领域信用分级分类监管标准。</w:t>
      </w:r>
    </w:p>
    <w:p>
      <w:pPr>
        <w:rPr>
          <w:rFonts w:ascii="仿宋" w:hAnsi="仿宋" w:eastAsia="仿宋"/>
          <w:sz w:val="32"/>
          <w:szCs w:val="32"/>
        </w:rPr>
      </w:pPr>
      <w:r>
        <w:rPr>
          <w:rFonts w:hint="eastAsia" w:ascii="仿宋" w:hAnsi="仿宋" w:eastAsia="仿宋"/>
          <w:sz w:val="32"/>
          <w:szCs w:val="32"/>
        </w:rPr>
        <w:t xml:space="preserve">    第四十二条【包容审慎监管】</w:t>
      </w:r>
    </w:p>
    <w:p>
      <w:pPr>
        <w:ind w:firstLine="640" w:firstLineChars="200"/>
        <w:rPr>
          <w:rFonts w:ascii="仿宋" w:hAnsi="仿宋" w:eastAsia="仿宋"/>
          <w:sz w:val="32"/>
          <w:szCs w:val="32"/>
        </w:rPr>
      </w:pPr>
      <w:r>
        <w:rPr>
          <w:rFonts w:hint="eastAsia" w:ascii="仿宋" w:hAnsi="仿宋" w:eastAsia="仿宋"/>
          <w:sz w:val="32"/>
          <w:szCs w:val="32"/>
        </w:rPr>
        <w:t>本市对新技术、新产业、新业态、新模式等实行包容审慎监管。</w:t>
      </w:r>
      <w:r>
        <w:rPr>
          <w:rFonts w:ascii="仿宋" w:hAnsi="仿宋" w:eastAsia="仿宋"/>
          <w:sz w:val="32"/>
          <w:szCs w:val="32"/>
        </w:rPr>
        <w:t xml:space="preserve"> </w:t>
      </w:r>
      <w:r>
        <w:rPr>
          <w:rFonts w:hint="eastAsia" w:ascii="仿宋" w:hAnsi="仿宋" w:eastAsia="仿宋"/>
          <w:sz w:val="32"/>
          <w:szCs w:val="32"/>
        </w:rPr>
        <w:t>本市建立健全市场主体轻微违法经营行为免予行政处罚和免予行政强制制度，明确轻微违法经营行为的具体情形，并依法免予行政处罚、行政强制。</w:t>
      </w:r>
    </w:p>
    <w:p>
      <w:pPr>
        <w:rPr>
          <w:rFonts w:ascii="仿宋" w:hAnsi="仿宋" w:eastAsia="仿宋"/>
          <w:sz w:val="32"/>
          <w:szCs w:val="32"/>
        </w:rPr>
      </w:pPr>
      <w:r>
        <w:rPr>
          <w:rFonts w:hint="eastAsia" w:ascii="仿宋" w:hAnsi="仿宋" w:eastAsia="仿宋"/>
          <w:sz w:val="32"/>
          <w:szCs w:val="32"/>
        </w:rPr>
        <w:t xml:space="preserve">     第四十三条【规范行政检查】</w:t>
      </w:r>
    </w:p>
    <w:p>
      <w:pPr>
        <w:ind w:firstLine="640" w:firstLineChars="200"/>
        <w:rPr>
          <w:rFonts w:ascii="仿宋" w:hAnsi="仿宋" w:eastAsia="仿宋"/>
          <w:sz w:val="32"/>
          <w:szCs w:val="32"/>
        </w:rPr>
      </w:pPr>
      <w:r>
        <w:rPr>
          <w:rFonts w:hint="eastAsia" w:ascii="仿宋" w:hAnsi="仿宋" w:eastAsia="仿宋"/>
          <w:sz w:val="32"/>
          <w:szCs w:val="32"/>
        </w:rPr>
        <w:t>本市行政执法机关应当根据监管需求，加强协作，明确联动程序，提高跨部门、跨领域联合检查效能。</w:t>
      </w:r>
      <w:r>
        <w:rPr>
          <w:rFonts w:ascii="仿宋" w:hAnsi="仿宋" w:eastAsia="仿宋"/>
          <w:sz w:val="32"/>
          <w:szCs w:val="32"/>
        </w:rPr>
        <w:t xml:space="preserve"> </w:t>
      </w:r>
      <w:r>
        <w:rPr>
          <w:rFonts w:hint="eastAsia" w:ascii="仿宋" w:hAnsi="仿宋" w:eastAsia="仿宋"/>
          <w:sz w:val="32"/>
          <w:szCs w:val="32"/>
        </w:rPr>
        <w:t>同一行政执法机关同一时期对同一检查对象实施多项检查的，原则上应当合并进行。除重点监管企业外，同一系统上级部门已对同一企业检查的，下级部门原则上不得再次实施；行政执法机关开展检查，应当采取随机抽取检查对象、随机选派检查人员的方式，并及时公布检查、处理结果。</w:t>
      </w:r>
    </w:p>
    <w:p>
      <w:pPr>
        <w:rPr>
          <w:rFonts w:ascii="仿宋" w:hAnsi="仿宋" w:eastAsia="仿宋"/>
          <w:sz w:val="32"/>
          <w:szCs w:val="32"/>
        </w:rPr>
      </w:pPr>
      <w:r>
        <w:rPr>
          <w:rFonts w:hint="eastAsia" w:ascii="仿宋" w:hAnsi="仿宋" w:eastAsia="仿宋"/>
          <w:sz w:val="32"/>
          <w:szCs w:val="32"/>
        </w:rPr>
        <w:t xml:space="preserve">    第四十四条【监管信息共享】  </w:t>
      </w:r>
    </w:p>
    <w:p>
      <w:pPr>
        <w:ind w:firstLine="640" w:firstLineChars="200"/>
        <w:rPr>
          <w:rFonts w:ascii="仿宋" w:hAnsi="仿宋" w:eastAsia="仿宋"/>
          <w:sz w:val="32"/>
          <w:szCs w:val="32"/>
        </w:rPr>
      </w:pPr>
      <w:r>
        <w:rPr>
          <w:rFonts w:hint="eastAsia" w:ascii="仿宋" w:hAnsi="仿宋" w:eastAsia="仿宋"/>
          <w:sz w:val="32"/>
          <w:szCs w:val="32"/>
        </w:rPr>
        <w:t>本市行政执法机关应当编制监管事项清单，明确监管主体、对象、内容、方式和处置责任等事项，实行清单动态调整并向社会公开信息，实现监管全覆盖。</w:t>
      </w:r>
    </w:p>
    <w:p>
      <w:pPr>
        <w:ind w:firstLine="640" w:firstLineChars="200"/>
        <w:rPr>
          <w:rFonts w:ascii="仿宋" w:hAnsi="仿宋" w:eastAsia="仿宋"/>
          <w:sz w:val="32"/>
          <w:szCs w:val="32"/>
        </w:rPr>
      </w:pPr>
      <w:r>
        <w:rPr>
          <w:rFonts w:hint="eastAsia" w:ascii="仿宋" w:hAnsi="仿宋" w:eastAsia="仿宋"/>
          <w:sz w:val="32"/>
          <w:szCs w:val="32"/>
        </w:rPr>
        <w:t>本市对食品安全、药品安全、公共卫生、安全生产、自然资源保护、生态环境保护等直接涉及公共安全和人民群众生命健康的特殊行业、重点领域，依法实行全过程重点监管。</w:t>
      </w:r>
    </w:p>
    <w:p>
      <w:pPr>
        <w:ind w:firstLine="640" w:firstLineChars="200"/>
        <w:rPr>
          <w:rFonts w:ascii="仿宋" w:hAnsi="仿宋" w:eastAsia="仿宋"/>
          <w:sz w:val="32"/>
          <w:szCs w:val="32"/>
        </w:rPr>
      </w:pPr>
      <w:r>
        <w:rPr>
          <w:rFonts w:hint="eastAsia" w:ascii="仿宋" w:hAnsi="仿宋" w:eastAsia="仿宋"/>
          <w:sz w:val="32"/>
          <w:szCs w:val="32"/>
        </w:rPr>
        <w:t>市、</w:t>
      </w:r>
      <w:r>
        <w:rPr>
          <w:rFonts w:hint="eastAsia" w:ascii="仿宋" w:hAnsi="仿宋" w:eastAsia="仿宋"/>
          <w:sz w:val="32"/>
          <w:szCs w:val="32"/>
          <w:lang w:eastAsia="zh-CN"/>
        </w:rPr>
        <w:t>县（市、区）</w:t>
      </w:r>
      <w:r>
        <w:rPr>
          <w:rFonts w:hint="eastAsia" w:ascii="仿宋" w:hAnsi="仿宋" w:eastAsia="仿宋"/>
          <w:sz w:val="32"/>
          <w:szCs w:val="32"/>
        </w:rPr>
        <w:t>人民政府及其相关部门应当按照公共信用信息目录以及标准规范要求，将履行职责过程中产生的行政许可、行政处罚、行政强制、抽查检查、失信联合惩戒对象等涉企信息及时、准确、完整地向市公共信用信息管理系统报送，并通过信用湛江网统一向社会披露。</w:t>
      </w:r>
    </w:p>
    <w:p>
      <w:pPr>
        <w:rPr>
          <w:rFonts w:ascii="仿宋" w:hAnsi="仿宋" w:eastAsia="仿宋"/>
          <w:sz w:val="32"/>
          <w:szCs w:val="32"/>
        </w:rPr>
      </w:pPr>
      <w:r>
        <w:rPr>
          <w:rFonts w:hint="eastAsia" w:ascii="仿宋" w:hAnsi="仿宋" w:eastAsia="仿宋"/>
          <w:sz w:val="32"/>
          <w:szCs w:val="32"/>
        </w:rPr>
        <w:t xml:space="preserve">    第四十五条【</w:t>
      </w:r>
      <w:r>
        <w:rPr>
          <w:rFonts w:hint="eastAsia" w:ascii="仿宋" w:hAnsi="仿宋" w:eastAsia="仿宋" w:cs="仿宋_GB2312"/>
          <w:sz w:val="32"/>
          <w:szCs w:val="32"/>
        </w:rPr>
        <w:t>综合行政执法</w:t>
      </w:r>
      <w:r>
        <w:rPr>
          <w:rFonts w:hint="eastAsia" w:ascii="仿宋" w:hAnsi="仿宋" w:eastAsia="仿宋"/>
          <w:sz w:val="32"/>
          <w:szCs w:val="32"/>
        </w:rPr>
        <w:t>】</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本市深化综合行政执法体制改革，减少执法主体和执法层级，在镇人民政府、街道办事处整合执法力量，按照有关法律、法规规定相对集中行使行政处罚权。实施行政处罚，纠正违法行为，应当坚持处罚与教育相结合，教育公民、法人或者其他组织自觉守法。</w:t>
      </w:r>
    </w:p>
    <w:p>
      <w:pPr>
        <w:ind w:firstLine="640" w:firstLineChars="200"/>
        <w:rPr>
          <w:rFonts w:ascii="仿宋" w:hAnsi="仿宋" w:eastAsia="仿宋"/>
          <w:sz w:val="32"/>
          <w:szCs w:val="32"/>
        </w:rPr>
      </w:pPr>
      <w:r>
        <w:rPr>
          <w:rFonts w:hint="eastAsia" w:ascii="仿宋" w:hAnsi="仿宋" w:eastAsia="仿宋"/>
          <w:sz w:val="32"/>
          <w:szCs w:val="32"/>
        </w:rPr>
        <w:t>行政执法机关应当在执法权限范围内，建立健全行政执法自由裁量基准制度</w:t>
      </w:r>
      <w:r>
        <w:rPr>
          <w:rFonts w:ascii="仿宋" w:hAnsi="仿宋" w:eastAsia="仿宋"/>
          <w:sz w:val="32"/>
          <w:szCs w:val="32"/>
        </w:rPr>
        <w:t>。</w:t>
      </w:r>
      <w:r>
        <w:rPr>
          <w:rFonts w:hint="eastAsia" w:ascii="仿宋" w:hAnsi="仿宋" w:eastAsia="仿宋"/>
          <w:sz w:val="32"/>
          <w:szCs w:val="32"/>
        </w:rPr>
        <w:t>行政执法自由裁量标准应当报送同级司法行政部门审核并按照国家、省、市的有关要求向社会公示。行政执法机关行使自由裁量权的，应当在行政执法决定中说明理由和依据。</w:t>
      </w:r>
    </w:p>
    <w:p>
      <w:pPr>
        <w:rPr>
          <w:rFonts w:ascii="仿宋" w:hAnsi="仿宋" w:eastAsia="仿宋"/>
          <w:sz w:val="32"/>
          <w:szCs w:val="32"/>
        </w:rPr>
      </w:pPr>
      <w:r>
        <w:rPr>
          <w:rFonts w:hint="eastAsia" w:ascii="仿宋" w:hAnsi="仿宋" w:eastAsia="仿宋"/>
          <w:sz w:val="32"/>
          <w:szCs w:val="32"/>
        </w:rPr>
        <w:t xml:space="preserve">    第四十六条 【涉企政策审查和公布】</w:t>
      </w:r>
    </w:p>
    <w:p>
      <w:pPr>
        <w:ind w:firstLine="640" w:firstLineChars="200"/>
        <w:rPr>
          <w:rFonts w:ascii="仿宋" w:hAnsi="仿宋" w:eastAsia="仿宋"/>
          <w:sz w:val="32"/>
          <w:szCs w:val="32"/>
        </w:rPr>
      </w:pPr>
      <w:r>
        <w:rPr>
          <w:rFonts w:hint="eastAsia" w:ascii="仿宋" w:hAnsi="仿宋" w:eastAsia="仿宋"/>
          <w:sz w:val="32"/>
          <w:szCs w:val="32"/>
        </w:rPr>
        <w:t>市、</w:t>
      </w:r>
      <w:r>
        <w:rPr>
          <w:rFonts w:hint="eastAsia" w:ascii="仿宋" w:hAnsi="仿宋" w:eastAsia="仿宋"/>
          <w:sz w:val="32"/>
          <w:szCs w:val="32"/>
          <w:lang w:eastAsia="zh-CN"/>
        </w:rPr>
        <w:t>县（市、区）</w:t>
      </w:r>
      <w:r>
        <w:rPr>
          <w:rFonts w:hint="eastAsia" w:ascii="仿宋" w:hAnsi="仿宋" w:eastAsia="仿宋"/>
          <w:sz w:val="32"/>
          <w:szCs w:val="32"/>
        </w:rPr>
        <w:t>人民政府及其有关部门制定涉及市场主体权利义务的行政规范性文件，应当进行合法性审核。制定涉及市场主体活动的政府规章、行业规划、产业政策和其他与市场主体生产经营活动密切相关的政策措施，应当采取实地调研、座谈会、论证会、听证会等形式，充分听取、合理采纳市场主体和行业协会、商会的意见和建议；除依法需要保密外，应当通过报纸、网络等向社会公开征求意见，并建立健全意见采纳情况反馈机制，征求意见的期限一般不少于三十日。</w:t>
      </w:r>
    </w:p>
    <w:p>
      <w:pPr>
        <w:ind w:firstLine="640" w:firstLineChars="200"/>
        <w:rPr>
          <w:rFonts w:ascii="仿宋" w:hAnsi="仿宋" w:eastAsia="仿宋"/>
          <w:sz w:val="32"/>
          <w:szCs w:val="32"/>
        </w:rPr>
      </w:pPr>
      <w:r>
        <w:rPr>
          <w:rFonts w:hint="eastAsia" w:ascii="仿宋" w:hAnsi="仿宋" w:eastAsia="仿宋"/>
          <w:sz w:val="32"/>
          <w:szCs w:val="32"/>
        </w:rPr>
        <w:t>涉及市场主体权利义务的规章、行政规范性文件和政策措施，应当自印发之日起三个工作日内通过官方载体以及网上政务平台、移动客户端、服务热线等载体公开发布，为市场主体提供政策解读。</w:t>
      </w:r>
    </w:p>
    <w:p>
      <w:pPr>
        <w:rPr>
          <w:rFonts w:ascii="仿宋" w:hAnsi="仿宋" w:eastAsia="仿宋"/>
          <w:sz w:val="32"/>
          <w:szCs w:val="32"/>
        </w:rPr>
      </w:pPr>
      <w:r>
        <w:rPr>
          <w:rFonts w:hint="eastAsia" w:ascii="仿宋" w:hAnsi="仿宋" w:eastAsia="仿宋"/>
          <w:sz w:val="32"/>
          <w:szCs w:val="32"/>
        </w:rPr>
        <w:t xml:space="preserve">    第四十七条【公共法律服务】</w:t>
      </w:r>
    </w:p>
    <w:p>
      <w:pPr>
        <w:ind w:firstLine="640" w:firstLineChars="200"/>
        <w:rPr>
          <w:rFonts w:ascii="仿宋" w:hAnsi="仿宋" w:eastAsia="仿宋"/>
          <w:sz w:val="32"/>
          <w:szCs w:val="32"/>
        </w:rPr>
      </w:pPr>
      <w:r>
        <w:rPr>
          <w:rFonts w:hint="eastAsia" w:ascii="仿宋" w:hAnsi="仿宋" w:eastAsia="仿宋"/>
          <w:sz w:val="32"/>
          <w:szCs w:val="32"/>
        </w:rPr>
        <w:t>本市建立优化营商环境公共法律服务体系，整合律师、公证、司法鉴定、仲裁、调解、法律援助等公共法律服务资源，在劳动争议、知识产权、环境保护、金融、商事等领域创新公共法律服务内容、形式和供给模式，推动信息技术在公共法律服务领域的应用，逐步建立全面覆盖的法律服务网。</w:t>
      </w:r>
    </w:p>
    <w:p>
      <w:pPr>
        <w:rPr>
          <w:rFonts w:ascii="仿宋" w:hAnsi="仿宋" w:eastAsia="仿宋"/>
          <w:sz w:val="32"/>
          <w:szCs w:val="32"/>
        </w:rPr>
      </w:pPr>
    </w:p>
    <w:p>
      <w:pPr>
        <w:rPr>
          <w:rFonts w:ascii="仿宋" w:hAnsi="仿宋" w:eastAsia="仿宋"/>
          <w:sz w:val="32"/>
          <w:szCs w:val="32"/>
        </w:rPr>
      </w:pPr>
      <w:r>
        <w:rPr>
          <w:rFonts w:hint="eastAsia" w:ascii="仿宋" w:hAnsi="仿宋" w:eastAsia="仿宋"/>
          <w:sz w:val="32"/>
          <w:szCs w:val="32"/>
        </w:rPr>
        <w:t xml:space="preserve">    第四十八条【司法公开和诉讼便利】</w:t>
      </w:r>
    </w:p>
    <w:p>
      <w:pPr>
        <w:ind w:firstLine="640" w:firstLineChars="200"/>
        <w:rPr>
          <w:rFonts w:ascii="仿宋" w:hAnsi="仿宋" w:eastAsia="仿宋"/>
          <w:sz w:val="32"/>
          <w:szCs w:val="32"/>
        </w:rPr>
      </w:pPr>
      <w:r>
        <w:rPr>
          <w:rFonts w:hint="eastAsia" w:ascii="仿宋" w:hAnsi="仿宋" w:eastAsia="仿宋"/>
          <w:sz w:val="32"/>
          <w:szCs w:val="32"/>
        </w:rPr>
        <w:t>本市推进智慧司法建设，人民法院应当健全完善司法公开制度机制体系，优化升级司法公开平台载体。市场主体可以通过诉讼服务平台查询案件的审判流程信息。人民法院应当通过司法公开平台向社会及时公开本市各级人民法院商事案件平均审理天数、结案率等动态信息。</w:t>
      </w:r>
    </w:p>
    <w:p>
      <w:pPr>
        <w:ind w:firstLine="640" w:firstLineChars="200"/>
        <w:rPr>
          <w:rFonts w:ascii="仿宋" w:hAnsi="仿宋" w:eastAsia="仿宋"/>
          <w:sz w:val="32"/>
          <w:szCs w:val="32"/>
        </w:rPr>
      </w:pPr>
      <w:r>
        <w:rPr>
          <w:rFonts w:hint="eastAsia" w:ascii="仿宋" w:hAnsi="仿宋" w:eastAsia="仿宋"/>
          <w:sz w:val="32"/>
          <w:szCs w:val="32"/>
        </w:rPr>
        <w:t>人民法院应当加强一站式诉讼服务中心建设，完善综合诉讼服务平台，提高民商事案件诉讼指引、诉讼辅助、诉讼事务、审判事务等诉讼服务全程网上办理水平，并严格遵守法律及司法解释关于民事案件审理期限的规定。</w:t>
      </w:r>
    </w:p>
    <w:p>
      <w:pPr>
        <w:rPr>
          <w:rFonts w:ascii="仿宋" w:hAnsi="仿宋" w:eastAsia="仿宋"/>
          <w:sz w:val="32"/>
          <w:szCs w:val="32"/>
        </w:rPr>
      </w:pPr>
      <w:r>
        <w:rPr>
          <w:rFonts w:hint="eastAsia" w:ascii="仿宋" w:hAnsi="仿宋" w:eastAsia="仿宋" w:cs="黑体"/>
          <w:sz w:val="32"/>
          <w:szCs w:val="32"/>
        </w:rPr>
        <w:t xml:space="preserve">    </w:t>
      </w:r>
      <w:r>
        <w:rPr>
          <w:rFonts w:hint="eastAsia" w:ascii="仿宋" w:hAnsi="仿宋" w:eastAsia="仿宋"/>
          <w:sz w:val="32"/>
          <w:szCs w:val="32"/>
        </w:rPr>
        <w:t>第四十九条【府院执行联动】</w:t>
      </w:r>
    </w:p>
    <w:p>
      <w:pPr>
        <w:ind w:firstLine="640" w:firstLineChars="200"/>
        <w:rPr>
          <w:rFonts w:ascii="仿宋" w:hAnsi="仿宋" w:eastAsia="仿宋"/>
          <w:sz w:val="32"/>
          <w:szCs w:val="32"/>
        </w:rPr>
      </w:pPr>
      <w:r>
        <w:rPr>
          <w:rFonts w:hint="eastAsia" w:ascii="仿宋" w:hAnsi="仿宋" w:eastAsia="仿宋"/>
          <w:sz w:val="32"/>
          <w:szCs w:val="32"/>
        </w:rPr>
        <w:t>人民法院应当完善执行联动机制，加强与政府相关部门、人民检察院以及企事业单位的协作,健全信息共享机制。政府相关部门、人民检察院以及企事业单位应当配合人民法院依法查询市场主体的身份、财产、交易、联系方式等信息，协助人民法院查找被执行人，支持人民法院实施网络查控和处置，切实解决执行难。</w:t>
      </w:r>
    </w:p>
    <w:p>
      <w:pPr>
        <w:rPr>
          <w:rFonts w:ascii="仿宋" w:hAnsi="仿宋" w:eastAsia="仿宋"/>
          <w:sz w:val="32"/>
          <w:szCs w:val="32"/>
        </w:rPr>
      </w:pPr>
      <w:r>
        <w:rPr>
          <w:rFonts w:hint="eastAsia" w:ascii="仿宋" w:hAnsi="仿宋" w:eastAsia="仿宋"/>
          <w:sz w:val="32"/>
          <w:szCs w:val="32"/>
        </w:rPr>
        <w:t xml:space="preserve">    第五十条【多元化纠纷解决机制】</w:t>
      </w:r>
    </w:p>
    <w:p>
      <w:pPr>
        <w:ind w:firstLine="640" w:firstLineChars="200"/>
        <w:rPr>
          <w:rFonts w:ascii="仿宋" w:hAnsi="仿宋" w:eastAsia="仿宋"/>
          <w:sz w:val="32"/>
          <w:szCs w:val="32"/>
        </w:rPr>
      </w:pPr>
      <w:r>
        <w:rPr>
          <w:rFonts w:hint="eastAsia" w:ascii="仿宋" w:hAnsi="仿宋" w:eastAsia="仿宋"/>
          <w:sz w:val="32"/>
          <w:szCs w:val="32"/>
        </w:rPr>
        <w:t>本市积极完善调解、仲裁、行政裁决、行政复议、诉讼等有机衔接的多元化纠纷解决机制，为市场主体提供高效、便捷的纠纷解决途径；完善人民调解、行政调解、行业性专业性调解、司法调解联动工作体系，建立健全调解与公证、仲裁、行政裁决、行政复议、诉讼等衔接联动机制。</w:t>
      </w:r>
    </w:p>
    <w:p>
      <w:pPr>
        <w:ind w:firstLine="640" w:firstLineChars="200"/>
        <w:rPr>
          <w:rFonts w:ascii="仿宋" w:hAnsi="仿宋" w:eastAsia="仿宋"/>
          <w:sz w:val="32"/>
          <w:szCs w:val="32"/>
        </w:rPr>
      </w:pPr>
      <w:r>
        <w:rPr>
          <w:rFonts w:hint="eastAsia" w:ascii="仿宋" w:hAnsi="仿宋" w:eastAsia="仿宋"/>
          <w:sz w:val="32"/>
          <w:szCs w:val="32"/>
        </w:rPr>
        <w:t>本市探索建立统一的在线商事纠纷多元化解平台，推进商事纠纷的在线咨询、在线评估、在线分流、在线调解和在线确认工作，高效化解市场主体在金融、知识产权、劳动用工和其他商事领域的纠纷。</w:t>
      </w:r>
    </w:p>
    <w:p>
      <w:pPr>
        <w:spacing w:line="560" w:lineRule="exact"/>
        <w:outlineLvl w:val="1"/>
        <w:rPr>
          <w:rFonts w:ascii="仿宋" w:hAnsi="仿宋" w:eastAsia="仿宋"/>
          <w:sz w:val="32"/>
          <w:szCs w:val="32"/>
        </w:rPr>
      </w:pPr>
      <w:r>
        <w:rPr>
          <w:rFonts w:hint="eastAsia" w:ascii="仿宋" w:hAnsi="仿宋" w:eastAsia="仿宋" w:cs="黑体"/>
          <w:sz w:val="32"/>
          <w:szCs w:val="32"/>
        </w:rPr>
        <w:t xml:space="preserve">    第五十一条【破产工作协调机制】</w:t>
      </w:r>
    </w:p>
    <w:p>
      <w:pPr>
        <w:ind w:firstLine="640"/>
        <w:rPr>
          <w:rFonts w:ascii="仿宋" w:hAnsi="仿宋" w:eastAsia="仿宋"/>
          <w:sz w:val="32"/>
          <w:szCs w:val="32"/>
        </w:rPr>
      </w:pPr>
      <w:r>
        <w:rPr>
          <w:rFonts w:hint="eastAsia" w:ascii="仿宋" w:hAnsi="仿宋" w:eastAsia="仿宋" w:cs="仿宋_GB2312"/>
          <w:sz w:val="32"/>
          <w:szCs w:val="32"/>
        </w:rPr>
        <w:t>本市探索设立破产投资基金、推动解决破产企业继续经营融资难。各级人民政府、人民法院应当深化、创新企业破产工作协调机制，保障破产工作协调机制常态化、规范化高效运行，建立健全破产费用多元化保障机制。</w:t>
      </w:r>
    </w:p>
    <w:p>
      <w:pPr>
        <w:ind w:firstLine="640"/>
        <w:rPr>
          <w:rFonts w:ascii="仿宋" w:hAnsi="仿宋" w:eastAsia="仿宋"/>
          <w:sz w:val="32"/>
          <w:szCs w:val="32"/>
        </w:rPr>
      </w:pPr>
      <w:r>
        <w:rPr>
          <w:rFonts w:hint="eastAsia" w:ascii="仿宋" w:hAnsi="仿宋" w:eastAsia="仿宋" w:cs="仿宋_GB2312"/>
          <w:sz w:val="32"/>
          <w:szCs w:val="32"/>
        </w:rPr>
        <w:t>人民法院应当完善执行与破产的信息交流和共享机制，人民法院探索建立重整识别、预重整等破产拯救机制，完善市场主体救治机制。</w:t>
      </w:r>
    </w:p>
    <w:p>
      <w:pPr>
        <w:shd w:val="clear" w:color="auto" w:fill="FFFFFF"/>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破产管理人、清算组持人民法院出具的破产清算受理裁定书、指定管理人决定书、身份证件查询破产企业注册登记材料、社会保险费用缴纳情况、银行开户信息及存款状况，以及不动产、车辆、知识产权等信息，接管并处置破产企业财产，市场监督管理部门、金融机构及相关部门应当予以配合。</w:t>
      </w:r>
    </w:p>
    <w:p>
      <w:pPr>
        <w:spacing w:line="560" w:lineRule="exact"/>
        <w:ind w:firstLine="640" w:firstLineChars="200"/>
        <w:outlineLvl w:val="1"/>
        <w:rPr>
          <w:rFonts w:ascii="仿宋" w:hAnsi="仿宋" w:eastAsia="仿宋"/>
          <w:sz w:val="32"/>
          <w:szCs w:val="32"/>
        </w:rPr>
      </w:pPr>
      <w:bookmarkStart w:id="190" w:name="_Toc37954595"/>
      <w:bookmarkStart w:id="191" w:name="_Toc41037534"/>
      <w:bookmarkStart w:id="192" w:name="_Toc37968529"/>
      <w:bookmarkStart w:id="193" w:name="_Toc218571401"/>
      <w:r>
        <w:rPr>
          <w:rFonts w:hint="eastAsia" w:ascii="仿宋" w:hAnsi="仿宋" w:eastAsia="仿宋" w:cs="黑体"/>
          <w:sz w:val="32"/>
          <w:szCs w:val="32"/>
        </w:rPr>
        <w:t>第五十二条【法律责任】</w:t>
      </w:r>
      <w:bookmarkEnd w:id="190"/>
      <w:bookmarkEnd w:id="191"/>
      <w:bookmarkEnd w:id="192"/>
      <w:bookmarkEnd w:id="193"/>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各级人民政府和有关部门及其工作人员在优化营商环境工作中，有下列情形之一的，由有关部门责令改正；情节严重的，依法依规追究责任：</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（一）制定经济政策，起草或者提请制定涉及市场主体重大权益的地方性法规、规章以及其他规范性文件，未听取有关市场主体意见和建议的；</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（二）以刑事手段方式插手处理经济纠纷的；</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（三）领导干部和工作人员不作为、服务意识淡薄，滥用行政权力，干预市场主体生产经营自主权的；</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（四）不按规定办理开办企业申请，或者要求市场主体重复提供有关信息资料的；</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（五）对企业变更住所地违法设置障碍的；</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（六）禁止、限制外地市场主体到本地从事生产经营活动、进入政府采购市场、参与招标投标活动，或者禁止、限制外地商品、服务进入本地市场的；</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（七）违反规定收取目录清单之外的行政事业性收费或保证金，擅自提高收费标准、扩大收费范围、变相收取费用或者未及时清退返还保证金的；</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（八）违反规定利用职权便利指定或者变相指定中介机构提供中介服务，对符合资质条件的评估机构作出的评估结果不予互认而要求重复评估的；</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（九）对市场主体提出信用信息异议后，经核实确有错误未及时更正或者撤销，以及实施失信联合惩戒错误导致市场主体合法权益受损害的；</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（十）未按照规定开展执法检查或者实施行政处罚、行政强制，影响市场主体正常生产经营活动，或者在行政执法活动中牟取不正当利益的；</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（十一）违法采取查封、扣押、冻结等措施给市场主体造成损失的；</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（十二）不按照规定及时查处破坏、扰乱市场经济秩序以及市场主体生产经营活动的行为的；</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（十三）未建立举报、投诉制度，未按照规定及时处理举报、投诉事项或者对举报、投诉人打击报复的；</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（十四）拒不配合破产管理人、清算组查询破产企业相关信息，违法妨碍破产管理人、清算组履职的；</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（十五）其他不履行优化营商环境职责或者破坏营商环境的情形。</w:t>
      </w:r>
    </w:p>
    <w:p>
      <w:pPr>
        <w:rPr>
          <w:rFonts w:asciiTheme="minorHAnsi" w:hAnsiTheme="minorHAnsi" w:eastAsiaTheme="minorEastAsia" w:cstheme="minorBidi"/>
        </w:rPr>
      </w:pPr>
    </w:p>
    <w:p>
      <w:pPr>
        <w:spacing w:line="560" w:lineRule="exact"/>
        <w:ind w:firstLine="640" w:firstLineChars="200"/>
        <w:jc w:val="center"/>
        <w:outlineLvl w:val="0"/>
        <w:rPr>
          <w:rFonts w:ascii="仿宋" w:hAnsi="仿宋" w:eastAsia="仿宋" w:cs="黑体"/>
          <w:kern w:val="44"/>
          <w:sz w:val="32"/>
          <w:szCs w:val="32"/>
        </w:rPr>
      </w:pPr>
      <w:bookmarkStart w:id="194" w:name="_Toc37954596"/>
      <w:bookmarkStart w:id="195" w:name="_Toc37348023"/>
      <w:bookmarkStart w:id="196" w:name="_Toc37968530"/>
      <w:bookmarkStart w:id="197" w:name="_Toc218571402"/>
    </w:p>
    <w:p>
      <w:pPr>
        <w:spacing w:line="560" w:lineRule="exact"/>
        <w:ind w:firstLine="640" w:firstLineChars="200"/>
        <w:jc w:val="center"/>
        <w:outlineLvl w:val="0"/>
        <w:rPr>
          <w:rFonts w:ascii="仿宋" w:hAnsi="仿宋" w:eastAsia="仿宋"/>
          <w:kern w:val="44"/>
          <w:sz w:val="32"/>
          <w:szCs w:val="32"/>
        </w:rPr>
      </w:pPr>
      <w:bookmarkStart w:id="198" w:name="_Toc41037535"/>
      <w:r>
        <w:rPr>
          <w:rFonts w:hint="eastAsia" w:ascii="仿宋" w:hAnsi="仿宋" w:eastAsia="仿宋" w:cs="黑体"/>
          <w:kern w:val="44"/>
          <w:sz w:val="32"/>
          <w:szCs w:val="32"/>
        </w:rPr>
        <w:t>第六章</w:t>
      </w:r>
      <w:r>
        <w:rPr>
          <w:rFonts w:ascii="仿宋" w:hAnsi="仿宋" w:eastAsia="仿宋" w:cs="黑体"/>
          <w:kern w:val="44"/>
          <w:sz w:val="32"/>
          <w:szCs w:val="32"/>
        </w:rPr>
        <w:t xml:space="preserve">  </w:t>
      </w:r>
      <w:r>
        <w:rPr>
          <w:rFonts w:hint="eastAsia" w:ascii="仿宋" w:hAnsi="仿宋" w:eastAsia="仿宋" w:cs="黑体"/>
          <w:kern w:val="44"/>
          <w:sz w:val="32"/>
          <w:szCs w:val="32"/>
        </w:rPr>
        <w:t>附则</w:t>
      </w:r>
      <w:bookmarkEnd w:id="194"/>
      <w:bookmarkEnd w:id="195"/>
      <w:bookmarkEnd w:id="196"/>
      <w:bookmarkEnd w:id="197"/>
      <w:bookmarkEnd w:id="198"/>
    </w:p>
    <w:p>
      <w:pPr>
        <w:spacing w:line="560" w:lineRule="exact"/>
        <w:ind w:firstLine="640" w:firstLineChars="200"/>
        <w:jc w:val="center"/>
        <w:outlineLvl w:val="0"/>
        <w:rPr>
          <w:rFonts w:ascii="仿宋" w:hAnsi="仿宋" w:eastAsia="仿宋"/>
          <w:kern w:val="44"/>
          <w:sz w:val="32"/>
          <w:szCs w:val="32"/>
        </w:rPr>
      </w:pPr>
    </w:p>
    <w:p>
      <w:pPr>
        <w:spacing w:line="560" w:lineRule="exact"/>
        <w:ind w:firstLine="640" w:firstLineChars="200"/>
        <w:outlineLvl w:val="1"/>
        <w:rPr>
          <w:rFonts w:ascii="仿宋" w:hAnsi="仿宋" w:eastAsia="仿宋"/>
          <w:sz w:val="32"/>
          <w:szCs w:val="32"/>
        </w:rPr>
      </w:pPr>
      <w:bookmarkStart w:id="199" w:name="_Toc37968531"/>
      <w:bookmarkStart w:id="200" w:name="_Toc37348024"/>
      <w:bookmarkStart w:id="201" w:name="_Toc41037536"/>
      <w:bookmarkStart w:id="202" w:name="_Toc37954597"/>
      <w:bookmarkStart w:id="203" w:name="_Toc36984261"/>
      <w:bookmarkStart w:id="204" w:name="_Toc218571403"/>
      <w:r>
        <w:rPr>
          <w:rFonts w:hint="eastAsia" w:ascii="仿宋" w:hAnsi="仿宋" w:eastAsia="仿宋" w:cs="黑体"/>
          <w:sz w:val="32"/>
          <w:szCs w:val="32"/>
        </w:rPr>
        <w:t>第五十三条【施行时间】</w:t>
      </w:r>
      <w:bookmarkEnd w:id="199"/>
      <w:bookmarkEnd w:id="200"/>
      <w:bookmarkEnd w:id="201"/>
      <w:bookmarkEnd w:id="202"/>
      <w:bookmarkEnd w:id="203"/>
      <w:bookmarkEnd w:id="204"/>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本条例自</w:t>
      </w:r>
      <w:r>
        <w:rPr>
          <w:rFonts w:ascii="仿宋" w:hAnsi="仿宋" w:eastAsia="仿宋" w:cs="仿宋_GB2312"/>
          <w:sz w:val="32"/>
          <w:szCs w:val="32"/>
        </w:rPr>
        <w:t>20XX</w:t>
      </w:r>
      <w:r>
        <w:rPr>
          <w:rFonts w:hint="eastAsia" w:ascii="仿宋" w:hAnsi="仿宋" w:eastAsia="仿宋" w:cs="仿宋_GB2312"/>
          <w:sz w:val="32"/>
          <w:szCs w:val="32"/>
        </w:rPr>
        <w:t>年</w:t>
      </w:r>
      <w:r>
        <w:rPr>
          <w:rFonts w:ascii="仿宋" w:hAnsi="仿宋" w:eastAsia="仿宋" w:cs="仿宋_GB2312"/>
          <w:sz w:val="32"/>
          <w:szCs w:val="32"/>
        </w:rPr>
        <w:t>X</w:t>
      </w:r>
      <w:r>
        <w:rPr>
          <w:rFonts w:hint="eastAsia" w:ascii="仿宋" w:hAnsi="仿宋" w:eastAsia="仿宋" w:cs="仿宋_GB2312"/>
          <w:sz w:val="32"/>
          <w:szCs w:val="32"/>
        </w:rPr>
        <w:t>月</w:t>
      </w:r>
      <w:r>
        <w:rPr>
          <w:rFonts w:ascii="仿宋" w:hAnsi="仿宋" w:eastAsia="仿宋" w:cs="仿宋_GB2312"/>
          <w:sz w:val="32"/>
          <w:szCs w:val="32"/>
        </w:rPr>
        <w:t>X</w:t>
      </w:r>
      <w:r>
        <w:rPr>
          <w:rFonts w:hint="eastAsia" w:ascii="仿宋" w:hAnsi="仿宋" w:eastAsia="仿宋" w:cs="仿宋_GB2312"/>
          <w:sz w:val="32"/>
          <w:szCs w:val="32"/>
        </w:rPr>
        <w:t>日起施行。</w:t>
      </w:r>
    </w:p>
    <w:p>
      <w:pPr>
        <w:rPr>
          <w:rFonts w:ascii="仿宋" w:hAnsi="仿宋" w:eastAsia="仿宋"/>
        </w:rPr>
      </w:pPr>
    </w:p>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文泉驿微米黑"/>
    <w:panose1 w:val="00000000000000000000"/>
    <w:charset w:val="86"/>
    <w:family w:val="auto"/>
    <w:pitch w:val="default"/>
    <w:sig w:usb0="00000000" w:usb1="00000000" w:usb2="00000016" w:usb3="00000000" w:csb0="0004000F" w:csb1="00000000"/>
  </w:font>
  <w:font w:name="仿宋">
    <w:altName w:val="方正仿宋_GBK"/>
    <w:panose1 w:val="00000000000000000000"/>
    <w:charset w:val="86"/>
    <w:family w:val="auto"/>
    <w:pitch w:val="default"/>
    <w:sig w:usb0="00000000" w:usb1="00000000" w:usb2="00000016" w:usb3="00000000" w:csb0="00040001" w:csb1="00000000"/>
  </w:font>
  <w:font w:name="仿宋_GB2312">
    <w:altName w:val="方正仿宋_GBK"/>
    <w:panose1 w:val="00000000000000000000"/>
    <w:charset w:val="86"/>
    <w:family w:val="modern"/>
    <w:pitch w:val="default"/>
    <w:sig w:usb0="00000000" w:usb1="00000000" w:usb2="00000010" w:usb3="00000000" w:csb0="00040000" w:csb1="00000000"/>
  </w:font>
  <w:font w:name="楷体_GB2312">
    <w:altName w:val="方正楷体_GBK"/>
    <w:panose1 w:val="00000000000000000000"/>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uto" w:vAnchor="text" w:hAnchor="margin" w:xAlign="right"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uto" w:vAnchor="text" w:hAnchor="margin" w:xAlign="right" w:y="1"/>
      <w:rPr>
        <w:rStyle w:val="8"/>
      </w:rPr>
    </w:pPr>
    <w:r>
      <w:rPr>
        <w:rStyle w:val="8"/>
      </w:rPr>
      <w:fldChar w:fldCharType="begin"/>
    </w:r>
    <w:r>
      <w:rPr>
        <w:rStyle w:val="8"/>
      </w:rPr>
      <w:instrText xml:space="preserve">PAGE  </w:instrText>
    </w:r>
    <w:r>
      <w:rPr>
        <w:rStyle w:val="8"/>
      </w:rPr>
      <w:fldChar w:fldCharType="end"/>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FE0163"/>
    <w:rsid w:val="0000250B"/>
    <w:rsid w:val="00034E6F"/>
    <w:rsid w:val="0004072A"/>
    <w:rsid w:val="000415FC"/>
    <w:rsid w:val="000E1605"/>
    <w:rsid w:val="000F27C1"/>
    <w:rsid w:val="001306D5"/>
    <w:rsid w:val="00133190"/>
    <w:rsid w:val="00156396"/>
    <w:rsid w:val="001F23B6"/>
    <w:rsid w:val="00212851"/>
    <w:rsid w:val="00215760"/>
    <w:rsid w:val="00215EA0"/>
    <w:rsid w:val="00236542"/>
    <w:rsid w:val="00332660"/>
    <w:rsid w:val="003C2845"/>
    <w:rsid w:val="003C64DF"/>
    <w:rsid w:val="003D1F58"/>
    <w:rsid w:val="003E489F"/>
    <w:rsid w:val="004444CD"/>
    <w:rsid w:val="00460534"/>
    <w:rsid w:val="00460719"/>
    <w:rsid w:val="00460C5B"/>
    <w:rsid w:val="00481963"/>
    <w:rsid w:val="00490BDA"/>
    <w:rsid w:val="004F1DC6"/>
    <w:rsid w:val="005037D6"/>
    <w:rsid w:val="0054376E"/>
    <w:rsid w:val="00543F8A"/>
    <w:rsid w:val="00571082"/>
    <w:rsid w:val="005E74D4"/>
    <w:rsid w:val="005F3DE0"/>
    <w:rsid w:val="0061696C"/>
    <w:rsid w:val="006222D7"/>
    <w:rsid w:val="00653AC1"/>
    <w:rsid w:val="006F12C7"/>
    <w:rsid w:val="007041A2"/>
    <w:rsid w:val="00767AAF"/>
    <w:rsid w:val="00783B43"/>
    <w:rsid w:val="007C4352"/>
    <w:rsid w:val="008041CD"/>
    <w:rsid w:val="00815C14"/>
    <w:rsid w:val="00823B56"/>
    <w:rsid w:val="00827ED4"/>
    <w:rsid w:val="008868DC"/>
    <w:rsid w:val="008D212C"/>
    <w:rsid w:val="008D24D1"/>
    <w:rsid w:val="008D7DB9"/>
    <w:rsid w:val="008E15F2"/>
    <w:rsid w:val="008E57F4"/>
    <w:rsid w:val="0090298E"/>
    <w:rsid w:val="0091541A"/>
    <w:rsid w:val="00955B8B"/>
    <w:rsid w:val="009679B4"/>
    <w:rsid w:val="009B22A0"/>
    <w:rsid w:val="009C5982"/>
    <w:rsid w:val="009F1871"/>
    <w:rsid w:val="009F4344"/>
    <w:rsid w:val="009F469D"/>
    <w:rsid w:val="00A031D7"/>
    <w:rsid w:val="00A22EC1"/>
    <w:rsid w:val="00A256AD"/>
    <w:rsid w:val="00A435A7"/>
    <w:rsid w:val="00A82042"/>
    <w:rsid w:val="00A86950"/>
    <w:rsid w:val="00A92F19"/>
    <w:rsid w:val="00A9575F"/>
    <w:rsid w:val="00AA4CAF"/>
    <w:rsid w:val="00AC4FAA"/>
    <w:rsid w:val="00BA11C1"/>
    <w:rsid w:val="00BD1AA4"/>
    <w:rsid w:val="00BD7F10"/>
    <w:rsid w:val="00C568B6"/>
    <w:rsid w:val="00C95785"/>
    <w:rsid w:val="00D1578B"/>
    <w:rsid w:val="00D80830"/>
    <w:rsid w:val="00D939A3"/>
    <w:rsid w:val="00DA1202"/>
    <w:rsid w:val="00DB257B"/>
    <w:rsid w:val="00DD681B"/>
    <w:rsid w:val="00DE4A2E"/>
    <w:rsid w:val="00DE5210"/>
    <w:rsid w:val="00DE5F9F"/>
    <w:rsid w:val="00E16ACA"/>
    <w:rsid w:val="00E46200"/>
    <w:rsid w:val="00E46D0F"/>
    <w:rsid w:val="00E85EB5"/>
    <w:rsid w:val="00E920CB"/>
    <w:rsid w:val="00E9673F"/>
    <w:rsid w:val="00EA7747"/>
    <w:rsid w:val="00EE37B3"/>
    <w:rsid w:val="00F055B2"/>
    <w:rsid w:val="00F87684"/>
    <w:rsid w:val="00FF2E00"/>
    <w:rsid w:val="00FF60ED"/>
    <w:rsid w:val="027302D4"/>
    <w:rsid w:val="030F70D2"/>
    <w:rsid w:val="036209AA"/>
    <w:rsid w:val="06B53B3F"/>
    <w:rsid w:val="08BC780F"/>
    <w:rsid w:val="09D31395"/>
    <w:rsid w:val="09F44D6C"/>
    <w:rsid w:val="0A522218"/>
    <w:rsid w:val="0A6F2281"/>
    <w:rsid w:val="0B5D0A7D"/>
    <w:rsid w:val="0BA56E05"/>
    <w:rsid w:val="0C315210"/>
    <w:rsid w:val="0C6C4C49"/>
    <w:rsid w:val="0C961DCF"/>
    <w:rsid w:val="0F9F6CC1"/>
    <w:rsid w:val="10316DB3"/>
    <w:rsid w:val="11BC3478"/>
    <w:rsid w:val="140458D7"/>
    <w:rsid w:val="140807EE"/>
    <w:rsid w:val="159E42B2"/>
    <w:rsid w:val="1648420A"/>
    <w:rsid w:val="173B1431"/>
    <w:rsid w:val="17A92CA4"/>
    <w:rsid w:val="1D1C4B9C"/>
    <w:rsid w:val="1D600B61"/>
    <w:rsid w:val="205906A2"/>
    <w:rsid w:val="21935C1A"/>
    <w:rsid w:val="225B4773"/>
    <w:rsid w:val="229C576E"/>
    <w:rsid w:val="23BF342B"/>
    <w:rsid w:val="249264FA"/>
    <w:rsid w:val="25357BD4"/>
    <w:rsid w:val="26C81D9A"/>
    <w:rsid w:val="274415AD"/>
    <w:rsid w:val="274E33C0"/>
    <w:rsid w:val="2A461C07"/>
    <w:rsid w:val="2AA85ABE"/>
    <w:rsid w:val="2BB05E9D"/>
    <w:rsid w:val="2DB6528C"/>
    <w:rsid w:val="2E25765C"/>
    <w:rsid w:val="2E7641BF"/>
    <w:rsid w:val="2EF4028D"/>
    <w:rsid w:val="2F51498A"/>
    <w:rsid w:val="2F9F6E11"/>
    <w:rsid w:val="30AD1A98"/>
    <w:rsid w:val="31DC41F6"/>
    <w:rsid w:val="32F00507"/>
    <w:rsid w:val="33CF1C07"/>
    <w:rsid w:val="35ED319A"/>
    <w:rsid w:val="3BA70A83"/>
    <w:rsid w:val="3BFE0163"/>
    <w:rsid w:val="3CC11CE4"/>
    <w:rsid w:val="3EF26A3F"/>
    <w:rsid w:val="4014345B"/>
    <w:rsid w:val="422379E1"/>
    <w:rsid w:val="428B6134"/>
    <w:rsid w:val="43EC3A51"/>
    <w:rsid w:val="4492024B"/>
    <w:rsid w:val="46BB1FBE"/>
    <w:rsid w:val="471F6323"/>
    <w:rsid w:val="47366689"/>
    <w:rsid w:val="47951561"/>
    <w:rsid w:val="479C1845"/>
    <w:rsid w:val="4C5F6F8B"/>
    <w:rsid w:val="4C7322E9"/>
    <w:rsid w:val="4D947C78"/>
    <w:rsid w:val="4D9D1E71"/>
    <w:rsid w:val="4EE975CC"/>
    <w:rsid w:val="4F8B5A83"/>
    <w:rsid w:val="515C7B56"/>
    <w:rsid w:val="51EA3B32"/>
    <w:rsid w:val="52612439"/>
    <w:rsid w:val="534D26F5"/>
    <w:rsid w:val="538F2020"/>
    <w:rsid w:val="55FE5145"/>
    <w:rsid w:val="566173DC"/>
    <w:rsid w:val="568D29CC"/>
    <w:rsid w:val="579A54D0"/>
    <w:rsid w:val="5A1D163C"/>
    <w:rsid w:val="5BC47248"/>
    <w:rsid w:val="5DF6550D"/>
    <w:rsid w:val="5F607A1C"/>
    <w:rsid w:val="609F1927"/>
    <w:rsid w:val="613975C6"/>
    <w:rsid w:val="63362EC0"/>
    <w:rsid w:val="633B768B"/>
    <w:rsid w:val="6365671A"/>
    <w:rsid w:val="64A32C9D"/>
    <w:rsid w:val="65030F0A"/>
    <w:rsid w:val="65F97CEC"/>
    <w:rsid w:val="67770062"/>
    <w:rsid w:val="6A063C22"/>
    <w:rsid w:val="6C354AA5"/>
    <w:rsid w:val="6DF73407"/>
    <w:rsid w:val="6E3F7FEA"/>
    <w:rsid w:val="6F663346"/>
    <w:rsid w:val="700575C0"/>
    <w:rsid w:val="703B4B21"/>
    <w:rsid w:val="71C93709"/>
    <w:rsid w:val="73AB0D9A"/>
    <w:rsid w:val="74442A70"/>
    <w:rsid w:val="744A1398"/>
    <w:rsid w:val="74D36ACD"/>
    <w:rsid w:val="74FD685C"/>
    <w:rsid w:val="76703E87"/>
    <w:rsid w:val="78122572"/>
    <w:rsid w:val="7B21711B"/>
    <w:rsid w:val="7B560309"/>
    <w:rsid w:val="7B84334F"/>
    <w:rsid w:val="7D6E1151"/>
    <w:rsid w:val="7E972410"/>
    <w:rsid w:val="7FF8143F"/>
    <w:rsid w:val="BE2E072A"/>
    <w:rsid w:val="FBCDFB36"/>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unhideWhenUsed/>
    <w:qFormat/>
    <w:uiPriority w:val="0"/>
    <w:pPr>
      <w:jc w:val="left"/>
    </w:pPr>
    <w:rPr>
      <w:rFonts w:ascii="等线" w:hAnsi="等线" w:eastAsia="等线"/>
    </w:rPr>
  </w:style>
  <w:style w:type="paragraph" w:styleId="3">
    <w:name w:val="Balloon Text"/>
    <w:basedOn w:val="1"/>
    <w:link w:val="13"/>
    <w:qFormat/>
    <w:uiPriority w:val="0"/>
    <w:rPr>
      <w:rFonts w:ascii="宋体"/>
      <w:sz w:val="18"/>
      <w:szCs w:val="18"/>
    </w:rPr>
  </w:style>
  <w:style w:type="paragraph" w:styleId="4">
    <w:name w:val="footer"/>
    <w:basedOn w:val="1"/>
    <w:unhideWhenUsed/>
    <w:qFormat/>
    <w:uiPriority w:val="99"/>
    <w:pPr>
      <w:tabs>
        <w:tab w:val="center" w:pos="4153"/>
        <w:tab w:val="right" w:pos="8306"/>
      </w:tabs>
      <w:snapToGrid w:val="0"/>
      <w:jc w:val="left"/>
    </w:pPr>
    <w:rPr>
      <w:rFonts w:ascii="等线" w:hAnsi="等线" w:eastAsia="等线"/>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0"/>
  </w:style>
  <w:style w:type="character" w:styleId="9">
    <w:name w:val="annotation reference"/>
    <w:unhideWhenUsed/>
    <w:qFormat/>
    <w:uiPriority w:val="0"/>
    <w:rPr>
      <w:sz w:val="21"/>
      <w:szCs w:val="21"/>
    </w:rPr>
  </w:style>
  <w:style w:type="character" w:customStyle="1" w:styleId="10">
    <w:name w:val="页眉字符"/>
    <w:basedOn w:val="7"/>
    <w:link w:val="5"/>
    <w:qFormat/>
    <w:uiPriority w:val="0"/>
    <w:rPr>
      <w:kern w:val="2"/>
      <w:sz w:val="18"/>
      <w:szCs w:val="18"/>
    </w:rPr>
  </w:style>
  <w:style w:type="character" w:customStyle="1" w:styleId="11">
    <w:name w:val="批注文字字符"/>
    <w:link w:val="2"/>
    <w:qFormat/>
    <w:uiPriority w:val="0"/>
    <w:rPr>
      <w:rFonts w:ascii="等线" w:hAnsi="等线" w:eastAsia="等线"/>
      <w:kern w:val="2"/>
      <w:sz w:val="21"/>
      <w:szCs w:val="22"/>
    </w:rPr>
  </w:style>
  <w:style w:type="character" w:customStyle="1" w:styleId="12">
    <w:name w:val="批注文字字符1"/>
    <w:basedOn w:val="7"/>
    <w:qFormat/>
    <w:uiPriority w:val="0"/>
    <w:rPr>
      <w:kern w:val="2"/>
      <w:sz w:val="21"/>
      <w:szCs w:val="22"/>
    </w:rPr>
  </w:style>
  <w:style w:type="character" w:customStyle="1" w:styleId="13">
    <w:name w:val="批注框文本字符"/>
    <w:basedOn w:val="7"/>
    <w:link w:val="3"/>
    <w:qFormat/>
    <w:uiPriority w:val="0"/>
    <w:rPr>
      <w:rFonts w:ascii="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1670</Words>
  <Characters>9525</Characters>
  <Lines>79</Lines>
  <Paragraphs>22</Paragraphs>
  <TotalTime>5</TotalTime>
  <ScaleCrop>false</ScaleCrop>
  <LinksUpToDate>false</LinksUpToDate>
  <CharactersWithSpaces>11173</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2021-04-27T20:08:00Z</dcterms:created>
  <dc:creator>哦</dc:creator>
  <cp:lastModifiedBy>uos</cp:lastModifiedBy>
  <dcterms:modified xsi:type="dcterms:W3CDTF">2021-04-28T10:48:25Z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B7AA1CFD23684156AF0A9326C859ACB7</vt:lpwstr>
  </property>
</Properties>
</file>