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hint="eastAsia" w:ascii="方正黑体_GBK" w:eastAsia="方正黑体_GBK"/>
          <w:snapToGrid w:val="0"/>
          <w:color w:val="000000"/>
          <w:sz w:val="32"/>
          <w:szCs w:val="32"/>
        </w:rPr>
      </w:pPr>
      <w:r>
        <w:rPr>
          <w:rFonts w:hint="eastAsia" w:ascii="方正黑体_GBK" w:eastAsia="方正黑体_GBK"/>
          <w:snapToGrid w:val="0"/>
          <w:color w:val="000000"/>
          <w:sz w:val="32"/>
          <w:szCs w:val="32"/>
        </w:rPr>
        <w:t>附件3</w:t>
      </w:r>
    </w:p>
    <w:p>
      <w:pPr>
        <w:adjustRightInd w:val="0"/>
        <w:snapToGrid w:val="0"/>
        <w:spacing w:line="590" w:lineRule="exact"/>
        <w:ind w:firstLine="640" w:firstLineChars="200"/>
        <w:rPr>
          <w:rFonts w:hint="eastAsia" w:eastAsia="方正仿宋_GBK" w:cs="宋体"/>
          <w:bCs/>
          <w:snapToGrid w:val="0"/>
          <w:color w:val="000000"/>
          <w:sz w:val="32"/>
          <w:szCs w:val="32"/>
        </w:rPr>
      </w:pPr>
    </w:p>
    <w:p>
      <w:pPr>
        <w:adjustRightInd w:val="0"/>
        <w:snapToGrid w:val="0"/>
        <w:spacing w:line="590" w:lineRule="exact"/>
        <w:jc w:val="center"/>
        <w:rPr>
          <w:rFonts w:hint="eastAsia" w:ascii="方正小标宋_GBK" w:eastAsia="方正小标宋_GBK" w:cs="方正小标宋_GBK"/>
          <w:bCs/>
          <w:snapToGrid w:val="0"/>
          <w:color w:val="000000"/>
          <w:sz w:val="44"/>
          <w:szCs w:val="44"/>
        </w:rPr>
      </w:pPr>
      <w:bookmarkStart w:id="0" w:name="_GoBack"/>
      <w:r>
        <w:rPr>
          <w:rFonts w:hint="eastAsia" w:ascii="方正小标宋_GBK" w:eastAsia="方正小标宋_GBK" w:cs="方正小标宋_GBK"/>
          <w:bCs/>
          <w:snapToGrid w:val="0"/>
          <w:color w:val="000000"/>
          <w:sz w:val="44"/>
          <w:szCs w:val="44"/>
        </w:rPr>
        <w:t>全区优化营商环境大行动实施方案2020年重点任务清单</w:t>
      </w:r>
    </w:p>
    <w:bookmarkEnd w:id="0"/>
    <w:p>
      <w:pPr>
        <w:adjustRightInd w:val="0"/>
        <w:snapToGrid w:val="0"/>
        <w:spacing w:line="590" w:lineRule="exact"/>
        <w:ind w:firstLine="640" w:firstLineChars="200"/>
        <w:rPr>
          <w:rFonts w:hint="eastAsia" w:eastAsia="方正仿宋_GBK" w:cs="宋体"/>
          <w:bCs/>
          <w:snapToGrid w:val="0"/>
          <w:color w:val="000000"/>
          <w:sz w:val="32"/>
          <w:szCs w:val="32"/>
        </w:rPr>
      </w:pPr>
    </w:p>
    <w:tbl>
      <w:tblPr>
        <w:tblStyle w:val="3"/>
        <w:tblW w:w="130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
      <w:tblGrid>
        <w:gridCol w:w="547"/>
        <w:gridCol w:w="7475"/>
        <w:gridCol w:w="3485"/>
        <w:gridCol w:w="1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tblHeade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方正黑体_GBK" w:eastAsia="方正黑体_GBK" w:cs="宋体"/>
                <w:bCs/>
                <w:snapToGrid w:val="0"/>
                <w:color w:val="000000"/>
                <w:sz w:val="21"/>
                <w:szCs w:val="21"/>
                <w:lang w:eastAsia="ar-SA"/>
              </w:rPr>
            </w:pPr>
            <w:r>
              <w:rPr>
                <w:rFonts w:hint="eastAsia" w:ascii="方正黑体_GBK" w:eastAsia="方正黑体_GBK" w:cs="宋体"/>
                <w:bCs/>
                <w:snapToGrid w:val="0"/>
                <w:color w:val="000000"/>
                <w:sz w:val="21"/>
                <w:szCs w:val="21"/>
              </w:rPr>
              <w:t>序号</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方正黑体_GBK" w:eastAsia="方正黑体_GBK" w:cs="宋体"/>
                <w:bCs/>
                <w:snapToGrid w:val="0"/>
                <w:color w:val="000000"/>
                <w:sz w:val="21"/>
                <w:szCs w:val="21"/>
                <w:lang w:eastAsia="ar-SA"/>
              </w:rPr>
            </w:pPr>
            <w:r>
              <w:rPr>
                <w:rFonts w:hint="eastAsia" w:ascii="方正黑体_GBK" w:eastAsia="方正黑体_GBK" w:cs="宋体"/>
                <w:bCs/>
                <w:snapToGrid w:val="0"/>
                <w:color w:val="000000"/>
                <w:sz w:val="21"/>
                <w:szCs w:val="21"/>
              </w:rPr>
              <w:t>重点工作任务</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方正黑体_GBK" w:eastAsia="方正黑体_GBK" w:cs="宋体"/>
                <w:bCs/>
                <w:snapToGrid w:val="0"/>
                <w:color w:val="000000"/>
                <w:sz w:val="21"/>
                <w:szCs w:val="21"/>
                <w:lang w:eastAsia="ar-SA"/>
              </w:rPr>
            </w:pPr>
            <w:r>
              <w:rPr>
                <w:rFonts w:hint="eastAsia" w:ascii="方正黑体_GBK" w:eastAsia="方正黑体_GBK" w:cs="宋体"/>
                <w:bCs/>
                <w:snapToGrid w:val="0"/>
                <w:color w:val="000000"/>
                <w:sz w:val="21"/>
                <w:szCs w:val="21"/>
              </w:rPr>
              <w:t>责任单位</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方正黑体_GBK" w:eastAsia="方正黑体_GBK" w:cs="宋体"/>
                <w:bCs/>
                <w:snapToGrid w:val="0"/>
                <w:color w:val="000000"/>
                <w:sz w:val="21"/>
                <w:szCs w:val="21"/>
                <w:lang w:eastAsia="ar-SA"/>
              </w:rPr>
            </w:pPr>
            <w:r>
              <w:rPr>
                <w:rFonts w:hint="eastAsia" w:ascii="方正黑体_GBK" w:eastAsia="方正黑体_GBK" w:cs="宋体"/>
                <w:bCs/>
                <w:snapToGrid w:val="0"/>
                <w:color w:val="000000"/>
                <w:sz w:val="21"/>
                <w:szCs w:val="21"/>
              </w:rPr>
              <w:t>完成时限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b/>
                <w:bCs/>
                <w:snapToGrid w:val="0"/>
                <w:color w:val="000000"/>
                <w:sz w:val="21"/>
                <w:szCs w:val="21"/>
                <w:lang w:eastAsia="ar-SA"/>
              </w:rPr>
            </w:pPr>
            <w:r>
              <w:rPr>
                <w:rFonts w:hint="eastAsia" w:eastAsia="方正书宋_GBK" w:cs="宋体"/>
                <w:b/>
                <w:bCs/>
                <w:snapToGrid w:val="0"/>
                <w:color w:val="000000"/>
                <w:sz w:val="21"/>
                <w:szCs w:val="21"/>
              </w:rPr>
              <w:t>一、营造更加高效便民的政务环境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全面实现全区投资项目在线并联审批，“多评合一”、“联合勘测”、“多方案合审”、“多图联审”及“区域评估”等技术审查结果与项目审批同步在线流转。推进线上线下业务办理无缝衔接，实现“前台综合受理、后台分类审批、综合窗口出件”。</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自治区政管办、发展改革委、住房城乡建设厅，自治区各有关部门，各市、县（市、区）人民政府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试点开展企业名称登记和企业设立登记合并工作模式，逐步取消企业名称核准环节。</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住房城乡建设部门的房屋交易信息、税务部门的纳税信息、工商部门的法人信息、公安部门的公民个人信息与国土部门建立信息互通共享，不动产登记机构能够通过实时互通共享取得的信息，实现不动产登记5个工作日内办结。</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自治区国土资源厅、住房城乡建设厅，广西壮族自治区税务局，自治区工商局、公安厅、民政厅，各市、县（市、区）人民政府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实现全区房屋建筑和市政基础设施工程项目施工图有关审批事项在线并联审批，全面实现施工图多审合一和数字化审图。在全区推行“4560”审批流程，实现企业项目投资审批程在各阶段、各环节、各部门间顺利运行，全面实现“4560”工作目标。</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自治区住房城乡建设厅、发展改革委、环境保护厅、国土资源厅、公安厅、政管办、人防办，广西公安消防总队，自治区安全监管局、气象局、地震局，各市、县（市、区）人民政府，相关园区管委会</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将电子营业执照的应用范围逐步扩大至公安刻章、税务办理、公共资源交易服务等政务服务。</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自治区工商局、公安厅，广西壮族自治区税务局，自治区政管办</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2020年10月底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rPr>
            </w:pPr>
            <w:r>
              <w:rPr>
                <w:rFonts w:hint="eastAsia" w:eastAsia="方正书宋_GBK" w:cs="宋体"/>
                <w:snapToGrid w:val="0"/>
                <w:color w:val="000000"/>
                <w:sz w:val="21"/>
                <w:szCs w:val="21"/>
              </w:rPr>
              <w:t>在全区范围内全面实现3个工作日内完成企业开办手续的目标。</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rPr>
            </w:pPr>
            <w:r>
              <w:rPr>
                <w:rFonts w:hint="eastAsia" w:eastAsia="方正书宋_GBK" w:cs="宋体"/>
                <w:snapToGrid w:val="0"/>
                <w:color w:val="000000"/>
                <w:sz w:val="21"/>
                <w:szCs w:val="21"/>
              </w:rPr>
              <w:t>自治区工商局，自治区各有关部门，各市、县（市、区）人民政府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建设11个自治区级商标品牌创业创新基地，每个设区市至少要建立一个自治区级品牌创业创新基地。</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8</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在广西建立2个商标品牌国际注册、运用、管理和保护的培训基地。</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自治区工商局，自治区各有关部门，各设区市人民政府</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9</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开展一次查处无证无照经营专项行动。</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自治区查处取缔无证无照经营联席会议各成员单位，各市、县（市、区）人民政府</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10</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实现“放心消费”示范单位覆盖全区消费较为集中的主要行业和领域、重点经营场所，示范街内的市场主体（经营户）参创率达80%以上。</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11</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不定期组织有关部门对全区营商环境建设工作开展专项督查，每年向自治区党委、自治区人民政府报告投资投诉办理情况。</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自治区投资促进局，自治区投资促进委员会其他成员单位</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12</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建立负面清单、收费清单，行政职权及依据、监管事项、对应责任、行使主体、方法程序、处罚措施等以清单形式向社会公示，接受社会监督，在涉企执法部门实现“双随机一公开”监管全覆盖。</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自治区工商局、政管办、编办、法制办，自治区各有关部门，各设区市人民政府</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13</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定期监测分析和掌握我区企业投资运行成本情况，研究提出降本增效的改进措施。</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自治区物价局、工业和信息化委，各设区市人民政府</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14</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全区各级行政执法、审批部门应邀请商会、协会及企业代表担任社会监督员，监督政府部门依法行政。</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全区各级行政执法、审批部门</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15</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落实《公平竞争审查制度实施细则（暂行）》，全面清理全区各级政府与企业签订的各类合作协议和相关的行政规范性文件，对不符合公平竞争原则的要立即纠正。</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自治区发展改革委、财政厅、商务厅、工商局、法制办</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b/>
                <w:bCs/>
                <w:snapToGrid w:val="0"/>
                <w:color w:val="000000"/>
                <w:sz w:val="21"/>
                <w:szCs w:val="21"/>
                <w:lang w:eastAsia="ar-SA"/>
              </w:rPr>
            </w:pPr>
            <w:r>
              <w:rPr>
                <w:rFonts w:hint="eastAsia" w:eastAsia="方正书宋_GBK" w:cs="宋体"/>
                <w:b/>
                <w:bCs/>
                <w:snapToGrid w:val="0"/>
                <w:color w:val="000000"/>
                <w:sz w:val="21"/>
                <w:szCs w:val="21"/>
              </w:rPr>
              <w:t>二、营造更加利企降本的建设经营环境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16</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2020年计划盘活1.53万公顷存量建设用地。</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自治区国土资源厅，各设区市人民政府</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完善审批系统、规范报批材料、理顺报批机制，实现建设用地报批“智慧审批”的目标，全区建设用地报批审查效率大幅提升。</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自治区国土资源厅，各设区市人民政府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推进用水价格改革，完善用水定价机制。</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自治区物价局、住房城乡建设厅，各市、县（市、区）人民政府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进一步完善用气定价机制，推进天然气价格市场化改革。</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自治区物价局、能源局、住房城乡建设厅，各市、县（市、区）人民政府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全区基本实现县县通天然气目标。</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自治区发展改革委、住房城乡建设厅，各市、县（市、区）人民政府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全面落实用水用电配套项目至用户单位用地红线工作。</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全区各供水供电企业，自治区住房城乡建设厅、工业和信息化委</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用水用气报装的企业内部流程办理时间压缩至15个工作日内。</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全区各供水供电企业，自治区住房城乡建设厅、工业和信息化委</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推进环境保护、职业卫生、建工、交通运输等行业检验检测机构相关资质认定和资格许可联合评审和信息共享，推动全社会采信认证结果。</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自治区质监局、农业厅、食品药品监管局、环境保护厅、安全监管局、住房城乡建设厅、交通运输厅、卫生计生委</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推行行政许可技术审查政府购买服务。</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自治区质监局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累计培育并力争超过6个企业（组织）获中国质量奖（含提名奖）、30个获自治区主席质量奖（提名奖），创建广西名牌产品超过2000个。</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自治区质监局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积极组织申报并力争获国家地理标志保护产品累计超过100个。</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自治区质监局，各市、县（市、区）人民政府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优化完善广西地方标准信息服务平台，新增企业产品标准全部在国家标准委企业标准信息公开服务平台上自我声明公开。制定20个团体标准。</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自治区质监局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新增电子信息、新能源电动车、新材料、大健康等战略性新兴产业检验检测能力100项。</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自治区质监局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b/>
                <w:bCs/>
                <w:snapToGrid w:val="0"/>
                <w:color w:val="000000"/>
                <w:sz w:val="21"/>
                <w:szCs w:val="21"/>
                <w:lang w:eastAsia="ar-SA"/>
              </w:rPr>
            </w:pPr>
            <w:r>
              <w:rPr>
                <w:rFonts w:hint="eastAsia" w:eastAsia="方正书宋_GBK" w:cs="宋体"/>
                <w:b/>
                <w:bCs/>
                <w:snapToGrid w:val="0"/>
                <w:color w:val="000000"/>
                <w:sz w:val="21"/>
                <w:szCs w:val="21"/>
              </w:rPr>
              <w:t>三、营造更加公平良好的融资环境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29</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开展金融扶贫政策效果评估，确保深度贫困地区每年贷款增速不低于全区贷款平均增速。</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人民银行南宁中心支行，广西金融扶贫工作厅际联席会议其他成员单位</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30</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继续落实对符合条件成功发行债务融资工具的企业和符合条件为广西企业发行股票及债务融资工具提供主承销服务的金融机构的奖励政策。</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自治区金融办、财政厅</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31</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rPr>
            </w:pPr>
            <w:r>
              <w:rPr>
                <w:rFonts w:hint="eastAsia" w:eastAsia="方正书宋_GBK" w:cs="宋体"/>
                <w:snapToGrid w:val="0"/>
                <w:color w:val="000000"/>
                <w:sz w:val="21"/>
                <w:szCs w:val="21"/>
              </w:rPr>
              <w:t>继续落实小企业贷款风险补偿专项资金支持政策，及时组织申报并拨付符合条件的自治区小企业贷款风险补偿资金。</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rPr>
            </w:pPr>
            <w:r>
              <w:rPr>
                <w:rFonts w:hint="eastAsia" w:eastAsia="方正书宋_GBK" w:cs="宋体"/>
                <w:snapToGrid w:val="0"/>
                <w:color w:val="000000"/>
                <w:sz w:val="21"/>
                <w:szCs w:val="21"/>
              </w:rPr>
              <w:t>自治区工业和信息化委、财政厅、金融办，人民银行南宁中心支行，广西银监局</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32</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rPr>
            </w:pPr>
            <w:r>
              <w:rPr>
                <w:rFonts w:hint="eastAsia" w:eastAsia="方正书宋_GBK" w:cs="宋体"/>
                <w:snapToGrid w:val="0"/>
                <w:color w:val="000000"/>
                <w:sz w:val="21"/>
                <w:szCs w:val="21"/>
              </w:rPr>
              <w:t>持续推动动产抵押登记电子化，为营造宽松、便捷、高效的融资环境提供保障。</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rPr>
            </w:pPr>
            <w:r>
              <w:rPr>
                <w:rFonts w:hint="eastAsia" w:eastAsia="方正书宋_GBK" w:cs="宋体"/>
                <w:snapToGrid w:val="0"/>
                <w:color w:val="000000"/>
                <w:sz w:val="21"/>
                <w:szCs w:val="21"/>
              </w:rPr>
              <w:t>自治区工商局，人民银行南宁中心支行，广西银监局</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b/>
                <w:bCs/>
                <w:snapToGrid w:val="0"/>
                <w:color w:val="000000"/>
                <w:sz w:val="21"/>
                <w:szCs w:val="21"/>
                <w:lang w:eastAsia="ar-SA"/>
              </w:rPr>
            </w:pPr>
            <w:r>
              <w:rPr>
                <w:rFonts w:hint="eastAsia" w:eastAsia="方正书宋_GBK" w:cs="宋体"/>
                <w:b/>
                <w:bCs/>
                <w:snapToGrid w:val="0"/>
                <w:color w:val="000000"/>
                <w:sz w:val="21"/>
                <w:szCs w:val="21"/>
              </w:rPr>
              <w:t>四、营造更加简便减负的税费服务环境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33</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2020年1月1日至2020年12月31日，对月销售额不超过3万元（按季纳税9万元）的增值税小规模纳税人，免征增值税。</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广西壮族自治区税务局、自治区财政厅</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34</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2020年1月1日至2020年12月31日，将享受减半征收企业所得税优惠政策的小微企业年应纳税所得额上限从50万元提高到100万元。</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广西壮族自治区税务局、自治区财政厅</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35</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企业在2020年1月1日至2020年12月31日期间新购进的设备、器具，单位价值不超过500万元的，允许一次性计入当期成本费用在计算应纳税所得额时扣除，不再分年度计算折旧</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广西壮族自治区税务局、自治区财政厅</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36</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2020年1月1日至2020年12月31日，对金融机构与小型企业、微型企业签订的借款合同免征印花税。</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广西壮族自治区税务局、自治区财政厅</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37</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2020年1月1日至2020年12月31日，企业、事业单位改制、重组符合政策规定的，享受契税减免政策。</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广西壮族自治区税务局、自治区财政厅</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38</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2020年1月1日至2020年12月31日，对企业暂停征收地方水利建设基金。</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广西壮族自治区税务局、自治区财政厅、水利厅</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2020年1月1日至2020年12月31日，各设区市执行阶段性降低基本医疗保险缴费比例政策，具体降低费率政策由各设区市自行制定。</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自治区人力资源社会保障厅、财政厅，各设区市人民政府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月1日至2020年12月31日，工伤保险实际平均费率由原来的1%降至0.75%，其中一类至八类行业的工伤保险费率分别按该行业用人单位职工工资总额的0.2%、0.4%、0.7%、0.9%、1.1%、1.3%、1.6%、1.9%缴纳。实施工伤保险浮动费率政策，二类至八类行业，上个浮动周期工伤保险支缴率小于等于20%，同时工伤发生率小于等于3‰的，费率下浮至其所在行业基准费率的50%；上个浮动周期工伤保险支缴率大于20%且小于等于40%，同时工伤发生率小于等于3‰的，费率下浮至其所在行业基准费率的80%。</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自治区人力资源社会保障厅、财政厅</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2020年1月1日至2020年12月31日，对生育保险基金结存量超过9个月的设区市，要结合当地实际，执行0.5%的生育保险费率。</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自治区人力资源社会保障厅、卫生计生委、财政厅，各设区市人民政府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对90%以上通过线上实名认证的纳税人按不同类型、不同经济特征提供多渠道的税收政策、税收优惠精准化推送服务，帮助纳税人切实享受政策红利。</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全区各级税务部门全面建成“一个尺度”、“一个标准”的执法体系。</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自治区政府信用信息共享交换平台实现可调取数据的材料，不再要求纳税人重复提供。</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进一步扩大纳税信用贷款直连机制，引导纳税人凭借自身良好纳税信用快速获取银行授信。</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广西壮族自治区税务局，各银行业金融机构</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将近年以来各项税收优惠政策执行情况及其效果进行综合分析并协助优化营商环境政策调整。</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将获取的第三方涉税信息纳入到提示、提醒指标当中，持续优化涉税风险提示提醒。</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将电子文书进一步拓展至日常业务当中，实现电子文书在日常业务办理过程中，全面取代纸质文书。</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促进工商登记环节的实名登记与税务管理环节的实名登记深度融合，实现一次采集，全面生效。</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广西壮族自治区税务局、自治区工商局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50</w:t>
            </w:r>
          </w:p>
        </w:tc>
        <w:tc>
          <w:tcPr>
            <w:tcW w:w="747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将“一站式办理房产交易涉税业务”的工作模式在全区推广。</w:t>
            </w:r>
          </w:p>
        </w:tc>
        <w:tc>
          <w:tcPr>
            <w:tcW w:w="34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广西壮族自治区税务局，全区各级不动产登记部门、民政部门、公安机关</w:t>
            </w:r>
          </w:p>
        </w:tc>
        <w:tc>
          <w:tcPr>
            <w:tcW w:w="1591"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51</w:t>
            </w:r>
          </w:p>
        </w:tc>
        <w:tc>
          <w:tcPr>
            <w:tcW w:w="747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在符合监管要求的前提下，通过互联网多渠道缴税方式，为自然人办理涉税业务提供微信、支付宝等电子缴税服务。</w:t>
            </w:r>
          </w:p>
        </w:tc>
        <w:tc>
          <w:tcPr>
            <w:tcW w:w="34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广西壮族自治区税务局，人民银行南宁中心支行</w:t>
            </w:r>
          </w:p>
        </w:tc>
        <w:tc>
          <w:tcPr>
            <w:tcW w:w="1591"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b/>
                <w:bCs/>
                <w:snapToGrid w:val="0"/>
                <w:color w:val="000000"/>
                <w:sz w:val="21"/>
                <w:szCs w:val="21"/>
                <w:lang w:eastAsia="ar-SA"/>
              </w:rPr>
            </w:pPr>
            <w:r>
              <w:rPr>
                <w:rFonts w:hint="eastAsia" w:eastAsia="方正书宋_GBK" w:cs="宋体"/>
                <w:b/>
                <w:bCs/>
                <w:snapToGrid w:val="0"/>
                <w:color w:val="000000"/>
                <w:sz w:val="21"/>
                <w:szCs w:val="21"/>
              </w:rPr>
              <w:t>五、营造更加优质充足的人力资源环境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52</w:t>
            </w:r>
          </w:p>
        </w:tc>
        <w:tc>
          <w:tcPr>
            <w:tcW w:w="747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提供在互联网办理人才落户业务事项的在线申报、在线受理、在线预约等服务。</w:t>
            </w:r>
          </w:p>
        </w:tc>
        <w:tc>
          <w:tcPr>
            <w:tcW w:w="34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自治区公安厅</w:t>
            </w:r>
          </w:p>
        </w:tc>
        <w:tc>
          <w:tcPr>
            <w:tcW w:w="1591"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53</w:t>
            </w:r>
          </w:p>
        </w:tc>
        <w:tc>
          <w:tcPr>
            <w:tcW w:w="747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全面为来桂外籍人才办理出入境证件提供网上服务。</w:t>
            </w:r>
          </w:p>
        </w:tc>
        <w:tc>
          <w:tcPr>
            <w:tcW w:w="34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自治区公安厅</w:t>
            </w:r>
          </w:p>
        </w:tc>
        <w:tc>
          <w:tcPr>
            <w:tcW w:w="1591"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b/>
                <w:bCs/>
                <w:snapToGrid w:val="0"/>
                <w:color w:val="000000"/>
                <w:sz w:val="21"/>
                <w:szCs w:val="21"/>
                <w:lang w:eastAsia="ar-SA"/>
              </w:rPr>
            </w:pPr>
            <w:r>
              <w:rPr>
                <w:rFonts w:hint="eastAsia" w:eastAsia="方正书宋_GBK" w:cs="宋体"/>
                <w:b/>
                <w:bCs/>
                <w:snapToGrid w:val="0"/>
                <w:color w:val="000000"/>
                <w:sz w:val="21"/>
                <w:szCs w:val="21"/>
              </w:rPr>
              <w:t>六、营造更加快捷通畅的通关环境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54</w:t>
            </w:r>
          </w:p>
        </w:tc>
        <w:tc>
          <w:tcPr>
            <w:tcW w:w="747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完成防城港口岸（渔澫港区第五作业区513#—516#泊位）、友谊关口岸（弄尧通道）、龙邦口岸（扩大开放）、峒中口岸（含里火通道）开放。</w:t>
            </w:r>
          </w:p>
        </w:tc>
        <w:tc>
          <w:tcPr>
            <w:tcW w:w="34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自治区商务厅，南宁海关，武警广西边防总队，广西海事局，广西北部湾国际港务集团有限公司，相关设区市人民政府</w:t>
            </w:r>
          </w:p>
        </w:tc>
        <w:tc>
          <w:tcPr>
            <w:tcW w:w="1591"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55</w:t>
            </w:r>
          </w:p>
        </w:tc>
        <w:tc>
          <w:tcPr>
            <w:tcW w:w="747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推行人员、车辆边检自助通关，完成硕龙、峒中等口岸人员、车辆自助查验系统，以及东兴边民互市区车辆自助查验系统建设，实现对全区重点口岸和边民互市贸易区自助通关模式全覆盖。</w:t>
            </w:r>
          </w:p>
        </w:tc>
        <w:tc>
          <w:tcPr>
            <w:tcW w:w="34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武警广西边防总队，相关设区市人民政府</w:t>
            </w:r>
          </w:p>
        </w:tc>
        <w:tc>
          <w:tcPr>
            <w:tcW w:w="1591"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56</w:t>
            </w:r>
          </w:p>
        </w:tc>
        <w:tc>
          <w:tcPr>
            <w:tcW w:w="747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推行国际航行船舶智能分类查验，完善业务流程，在全部水运口岸实施船舶查验差异化管理。</w:t>
            </w:r>
          </w:p>
        </w:tc>
        <w:tc>
          <w:tcPr>
            <w:tcW w:w="34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自治区商务厅（口岸办），广西海事局，南宁海关，武警广西边防总队等</w:t>
            </w:r>
          </w:p>
        </w:tc>
        <w:tc>
          <w:tcPr>
            <w:tcW w:w="1591"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57</w:t>
            </w:r>
          </w:p>
        </w:tc>
        <w:tc>
          <w:tcPr>
            <w:tcW w:w="747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南向通道综合信息平台三期将实现广西、重庆、贵州、甘肃等中新互联互通南向通道沿线省（区、市）口岸物流信息共享，并整合新加坡及东盟各主要港口码头、货主、集装箱运输企业、货代、船代、口岸通关等资源，实现与国外物流数据接口的对接，并打造完成智慧物流体系。</w:t>
            </w:r>
          </w:p>
        </w:tc>
        <w:tc>
          <w:tcPr>
            <w:tcW w:w="34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自治区商务厅，南宁海关，武警广西边防总队，广西海事局，广西北部湾国际港务集团有限公司，中国—东盟信息港股份有限公司等</w:t>
            </w:r>
          </w:p>
        </w:tc>
        <w:tc>
          <w:tcPr>
            <w:tcW w:w="1591"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58</w:t>
            </w:r>
          </w:p>
        </w:tc>
        <w:tc>
          <w:tcPr>
            <w:tcW w:w="747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在全区各口岸全面推广应用通关时效系统，推动搭建口岸通关效能大数据平台，进一步提高数据分析的完整性、实时性和准确性，全面提升广西口岸管理信息化水平。</w:t>
            </w:r>
          </w:p>
        </w:tc>
        <w:tc>
          <w:tcPr>
            <w:tcW w:w="34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自治区商务厅，南宁海关，武警广西边防总队，广西海事局，广西北部湾国际港务集团有限公司等</w:t>
            </w:r>
          </w:p>
        </w:tc>
        <w:tc>
          <w:tcPr>
            <w:tcW w:w="1591"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b/>
                <w:bCs/>
                <w:snapToGrid w:val="0"/>
                <w:color w:val="000000"/>
                <w:sz w:val="21"/>
                <w:szCs w:val="21"/>
                <w:lang w:eastAsia="ar-SA"/>
              </w:rPr>
            </w:pPr>
            <w:r>
              <w:rPr>
                <w:rFonts w:hint="eastAsia" w:eastAsia="方正书宋_GBK" w:cs="宋体"/>
                <w:b/>
                <w:bCs/>
                <w:snapToGrid w:val="0"/>
                <w:color w:val="000000"/>
                <w:sz w:val="21"/>
                <w:szCs w:val="21"/>
              </w:rPr>
              <w:t>七、营造更加奖惩分明的信用环境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依托自治区公共信用信息平台，依法建立跨地区、跨部门、覆盖全区的信用奖惩联动机制，实现对守信市场主体在办理融资、政策扶持、公共资源交易等领域予以支持及倾斜，同时限制失信市场主体获得相应办事便利。</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自治区发展改革委，人民银行南宁中心支行，广西社会信用体系建设联席会议其他成员单位，各设区市人民政府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各设区市完成本级《政府部门涉企信息归集资源目录》动态更新。</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自治区工商局，全区各行政许可部门、行政执法部门，各设区市人民政府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2020年6月底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建立并完善我区企业信用修复机制。</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自治区工商局、发展改革委，广西社会信用体系建设联席会议其他成员单位</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b/>
                <w:bCs/>
                <w:snapToGrid w:val="0"/>
                <w:color w:val="000000"/>
                <w:sz w:val="21"/>
                <w:szCs w:val="21"/>
                <w:lang w:eastAsia="ar-SA"/>
              </w:rPr>
            </w:pPr>
            <w:r>
              <w:rPr>
                <w:rFonts w:hint="eastAsia" w:eastAsia="方正书宋_GBK" w:cs="宋体"/>
                <w:b/>
                <w:bCs/>
                <w:snapToGrid w:val="0"/>
                <w:color w:val="000000"/>
                <w:sz w:val="21"/>
                <w:szCs w:val="21"/>
              </w:rPr>
              <w:t>八、营造更加规范公正的法治环境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建立对涉企犯罪的常态化打击防范机制，切实维护企业良好治安秩序</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自治区公安厅</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推广运用电子化手段，对“双随机”抽查做到全程电子记录保存，及时向社会公布抽查结果。</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自治区工商局，自治区各有关部门</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通过“行政执法监督+”模式，有效整合内部监督和外部监督，形成一整套行政执法监督体系。</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自治区政管办、法制办，全区各级行政执法部门</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组织开展涉企执法专项检查和案件评查，重点检查各地涉企办案中有关涉案财产处置、取保候审保证金收取退还等情况。</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自治区公安厅，自治区高级法院</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建立公安机关全面服务辖区企业工作制度，维护、发展企业合法权益</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自治区公安厅</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制定出台涉刑事案件案财产处置司法指导意见。</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自治区高级法院，自治区检察院，自治区公安厅、司法厅、财政厅</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加强涉企业民商事案件立案工作，力争涉企业民商事纠纷当场立案率达95%以上。</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自治区高级法院</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rPr>
            </w:pPr>
            <w:r>
              <w:rPr>
                <w:rFonts w:hint="eastAsia" w:eastAsia="方正书宋_GBK"/>
                <w:snapToGrid w:val="0"/>
                <w:color w:val="000000"/>
                <w:sz w:val="21"/>
                <w:szCs w:val="21"/>
              </w:rPr>
              <w:t>在全区三级法院诉讼服务中心设置和规范诉调对接平台建设，通过对接平台的委派调解，力争20%以上同期立案庭受理的民商事案件实现快速审判。</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rPr>
            </w:pPr>
            <w:r>
              <w:rPr>
                <w:rFonts w:hint="eastAsia" w:eastAsia="方正书宋_GBK" w:cs="宋体"/>
                <w:snapToGrid w:val="0"/>
                <w:color w:val="000000"/>
                <w:sz w:val="21"/>
                <w:szCs w:val="21"/>
              </w:rPr>
              <w:t>自治区高级法院，自治区司法厅、商务厅</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推进仲裁制度改革，完善诉讼与调解对接、仲裁与调解对接、公证与调解对接，全区涉企业民商事仲裁案件适用先行调解率达到70%。</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自治区法制办、司法厅、商务厅，自治区高级法院</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71</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全面推进全区三级法院在线调解工作。</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自治区高级法院</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72</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实现经济犯罪案件受案立案规范化，切实解决不当立案和该立不立的问题，实现对经济犯罪案件侦办工作实时网上监督、纠错。</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自治区各级公安机关、检察机关、人民法院</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73</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制定出台知识产权侵权赔偿裁判标准指导性文件。</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自治区高级法院</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74</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推动全区三级法院破产审判专业化建设，全区各中级法院和辖区内至少一个基层法院组建破产审判专业化团队。</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自治区高级法院</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75</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推动成立破产管理人协会。</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自治区司法厅，自治区高级法院</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76</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各市县参照自治区府院联动机制模式，分级建立，分级负责，分级运行。</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自治区高级法院，自治区检察院，自治区公安厅、司法厅、国资委、工业和信息化委、人力资源社会保障厅、工商局，广西壮族自治区税务局，广西银监局，人民银行南宁中心支行</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77</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针对重点领域和敏感问题至少开展一次整治虚假违法广告专项行动。</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rPr>
            </w:pPr>
            <w:r>
              <w:rPr>
                <w:rFonts w:hint="eastAsia" w:eastAsia="方正书宋_GBK" w:cs="宋体"/>
                <w:snapToGrid w:val="0"/>
                <w:color w:val="000000"/>
                <w:sz w:val="21"/>
                <w:szCs w:val="21"/>
              </w:rPr>
              <w:t>自治区工商局，广西整治虚假违法广告厅际联席会议其他成员单位，各设区市人民政府</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b/>
                <w:bCs/>
                <w:snapToGrid w:val="0"/>
                <w:color w:val="000000"/>
                <w:sz w:val="21"/>
                <w:szCs w:val="21"/>
                <w:lang w:eastAsia="ar-SA"/>
              </w:rPr>
            </w:pPr>
            <w:r>
              <w:rPr>
                <w:rFonts w:hint="eastAsia" w:eastAsia="方正书宋_GBK" w:cs="宋体"/>
                <w:b/>
                <w:bCs/>
                <w:snapToGrid w:val="0"/>
                <w:color w:val="000000"/>
                <w:sz w:val="21"/>
                <w:szCs w:val="21"/>
              </w:rPr>
              <w:t>九、构建更加亲商安商的政商关系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78</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完善政企工作联系机制。全区各级党委、政府要建立完善政企沟通渠道，制定党政领导联系企业分工表，各市县党政领导每年到联系的企业考察调研不少于2次。</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自治区投资促进局，各市、县（市、区）党委、人民政府</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79</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积极搭建政企沟通平台。各市县要召开1—2次由党政领导参加的政企联席会、座谈会，听取企业家意见建议，帮助解决企业实际困难。</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各市、县（市、区）党委、人民政府</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80</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制定自治区党政领导协调推进招商引资重点项目联系表，明确责任领导和部门，强化协调服务。</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自治区投资促进局</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81</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梳理制定招商引资重点项目清单和问题清单。</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自治区、市、县三级投资（招商）促进机构</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2020年12月底</w:t>
            </w:r>
          </w:p>
        </w:tc>
      </w:tr>
    </w:tbl>
    <w:p/>
    <w:sectPr>
      <w:pgSz w:w="16838" w:h="11906" w:orient="landscape"/>
      <w:pgMar w:top="1417" w:right="1928" w:bottom="1417" w:left="1814" w:header="851" w:footer="1134" w:gutter="0"/>
      <w:cols w:space="0" w:num="1"/>
      <w:rtlGutter w:val="0"/>
      <w:docGrid w:type="lines" w:linePitch="4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FZFSK--GBK1-0">
    <w:altName w:val="宋体"/>
    <w:panose1 w:val="00000000000000000000"/>
    <w:charset w:val="86"/>
    <w:family w:val="auto"/>
    <w:pitch w:val="default"/>
    <w:sig w:usb0="00000000" w:usb1="00000000" w:usb2="00000010" w:usb3="00000000" w:csb0="00040001" w:csb1="00000000"/>
  </w:font>
  <w:font w:name="Batang">
    <w:panose1 w:val="02030600000101010101"/>
    <w:charset w:val="81"/>
    <w:family w:val="auto"/>
    <w:pitch w:val="default"/>
    <w:sig w:usb0="B00002AF" w:usb1="69D77CFB" w:usb2="00000030" w:usb3="00000000" w:csb0="4008009F" w:csb1="DFD7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DengXian Light">
    <w:altName w:val="PMingLiU"/>
    <w:panose1 w:val="00000000000000000000"/>
    <w:charset w:val="88"/>
    <w:family w:val="auto"/>
    <w:pitch w:val="default"/>
    <w:sig w:usb0="00000000" w:usb1="00000000" w:usb2="00000010" w:usb3="00000000" w:csb0="00100000" w:csb1="00000000"/>
  </w:font>
  <w:font w:name="方正小标宋_GBK">
    <w:panose1 w:val="03000509000000000000"/>
    <w:charset w:val="86"/>
    <w:family w:val="script"/>
    <w:pitch w:val="default"/>
    <w:sig w:usb0="00000001" w:usb1="080E0000" w:usb2="00000000" w:usb3="00000000" w:csb0="00040000" w:csb1="00000000"/>
  </w:font>
  <w:font w:name="宋体_x0004_fal">
    <w:altName w:val="宋体"/>
    <w:panose1 w:val="00000000000000000000"/>
    <w:charset w:val="86"/>
    <w:family w:val="auto"/>
    <w:pitch w:val="default"/>
    <w:sig w:usb0="00000000" w:usb1="00000000" w:usb2="00000010" w:usb3="00000000" w:csb0="00040000" w:csb1="00000000"/>
  </w:font>
  <w:font w:name="黑体_x0004_fal">
    <w:altName w:val="黑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书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650DCB"/>
    <w:rsid w:val="24171F74"/>
    <w:rsid w:val="29650DC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30"/>
      <w:szCs w:val="30"/>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gxnews</Company>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2018-10-26T06:21:00Z</dcterms:created>
  <dc:creator>dengd</dc:creator>
  <cp:lastModifiedBy>dengd</cp:lastModifiedBy>
  <dcterms:modified xsi:type="dcterms:W3CDTF">2018-10-26T06:21:55Z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