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4A9" w:rsidRPr="00A644A9" w:rsidRDefault="00A644A9" w:rsidP="00A644A9">
      <w:pPr>
        <w:widowControl/>
        <w:spacing w:line="360" w:lineRule="atLeast"/>
        <w:jc w:val="left"/>
        <w:rPr>
          <w:rFonts w:ascii="宋体" w:eastAsia="宋体" w:hAnsi="宋体" w:cs="宋体" w:hint="eastAsia"/>
          <w:bCs/>
          <w:color w:val="000000"/>
          <w:spacing w:val="-6"/>
          <w:kern w:val="0"/>
          <w:sz w:val="24"/>
          <w:szCs w:val="24"/>
        </w:rPr>
      </w:pPr>
      <w:r w:rsidRPr="00A644A9">
        <w:rPr>
          <w:rFonts w:ascii="Times New Roman" w:eastAsia="黑体" w:hAnsi="Times New Roman" w:cs="宋体" w:hint="eastAsia"/>
          <w:bCs/>
          <w:color w:val="000000"/>
          <w:spacing w:val="-6"/>
          <w:kern w:val="0"/>
          <w:sz w:val="32"/>
          <w:szCs w:val="32"/>
        </w:rPr>
        <w:t>附件</w:t>
      </w:r>
      <w:r w:rsidRPr="00A644A9">
        <w:rPr>
          <w:rFonts w:ascii="Times New Roman" w:eastAsia="黑体" w:hAnsi="Times New Roman" w:cs="Times New Roman"/>
          <w:bCs/>
          <w:color w:val="000000"/>
          <w:spacing w:val="-6"/>
          <w:kern w:val="0"/>
          <w:sz w:val="32"/>
          <w:szCs w:val="32"/>
        </w:rPr>
        <w:t>1</w:t>
      </w:r>
    </w:p>
    <w:p w:rsidR="00A644A9" w:rsidRPr="00A644A9" w:rsidRDefault="00A644A9" w:rsidP="00A644A9">
      <w:pPr>
        <w:widowControl/>
        <w:spacing w:line="360" w:lineRule="atLeast"/>
        <w:jc w:val="center"/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</w:pP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投资项目审批</w:t>
      </w:r>
      <w:r w:rsidRPr="00A644A9"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  <w:t>“</w:t>
      </w: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一窗受理、集成服务</w:t>
      </w:r>
      <w:r w:rsidRPr="00A644A9"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  <w:t>”</w:t>
      </w: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改革主要任务清单</w:t>
      </w:r>
    </w:p>
    <w:tbl>
      <w:tblPr>
        <w:tblW w:w="14460" w:type="dxa"/>
        <w:jc w:val="center"/>
        <w:tblLayout w:type="fixed"/>
        <w:tblLook w:val="00A0" w:firstRow="1" w:lastRow="0" w:firstColumn="1" w:lastColumn="0" w:noHBand="0" w:noVBand="0"/>
      </w:tblPr>
      <w:tblGrid>
        <w:gridCol w:w="883"/>
        <w:gridCol w:w="2203"/>
        <w:gridCol w:w="3536"/>
        <w:gridCol w:w="1424"/>
        <w:gridCol w:w="1813"/>
        <w:gridCol w:w="3222"/>
        <w:gridCol w:w="1379"/>
      </w:tblGrid>
      <w:tr w:rsidR="00A644A9" w:rsidRPr="00A644A9" w:rsidTr="00A644A9">
        <w:trPr>
          <w:tblHeader/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工作事项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牵头部门</w:t>
            </w:r>
          </w:p>
        </w:tc>
        <w:tc>
          <w:tcPr>
            <w:tcW w:w="3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配合部门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ind w:firstLineChars="49" w:firstLine="118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完成时间</w:t>
            </w: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梳理纳入事项</w:t>
            </w:r>
          </w:p>
        </w:tc>
        <w:tc>
          <w:tcPr>
            <w:tcW w:w="4965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梳理投资项目审批事项；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确定纳入事项清单。</w:t>
            </w:r>
          </w:p>
        </w:tc>
        <w:tc>
          <w:tcPr>
            <w:tcW w:w="181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发改局</w:t>
            </w:r>
            <w:proofErr w:type="gramEnd"/>
          </w:p>
        </w:tc>
        <w:tc>
          <w:tcPr>
            <w:tcW w:w="322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区经信委、市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国土局越城区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分局、区环保局、区农林水利局、区住建局、市人防办、区气象局、消防大队等</w:t>
            </w:r>
          </w:p>
        </w:tc>
        <w:tc>
          <w:tcPr>
            <w:tcW w:w="13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设立综合窗口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提出投资项目审批受理区的布局方案；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落实相关设施、设备的配置；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做好受理区的调整、改造和布置。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发改局</w:t>
            </w:r>
            <w:proofErr w:type="gramEnd"/>
          </w:p>
        </w:tc>
        <w:tc>
          <w:tcPr>
            <w:tcW w:w="3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区经信委、市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国土局越城区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分局、区环保局、区农林水利局、区住建局、市人防办、区气象局、消防大队等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制定实施细则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制定投资项目审批综合受理实施细则。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发改局</w:t>
            </w:r>
            <w:proofErr w:type="gramEnd"/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区经信委、市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国土局越城区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分局、区环保局、区农林水利局、区住建局、市人防办、区气象局、消防大队等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制定投资项目审批流程</w:t>
            </w:r>
          </w:p>
        </w:tc>
        <w:tc>
          <w:tcPr>
            <w:tcW w:w="3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ind w:left="-122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按审批流程分别制定立项、用地、规划、施工许可、验收五个环节的审批流程。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立项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发改局</w:t>
            </w:r>
            <w:proofErr w:type="gramEnd"/>
          </w:p>
        </w:tc>
        <w:tc>
          <w:tcPr>
            <w:tcW w:w="3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相关审批部门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用地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国土局越城区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</w:t>
            </w:r>
          </w:p>
        </w:tc>
        <w:tc>
          <w:tcPr>
            <w:tcW w:w="3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规划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</w:t>
            </w:r>
          </w:p>
        </w:tc>
        <w:tc>
          <w:tcPr>
            <w:tcW w:w="3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施工许可</w:t>
            </w: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区住建局（区交通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lastRenderedPageBreak/>
              <w:t>运输局）、区农林水利局</w:t>
            </w:r>
          </w:p>
        </w:tc>
        <w:tc>
          <w:tcPr>
            <w:tcW w:w="3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验收</w:t>
            </w: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建立配套工作机制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建立并联审批、模拟审批、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容缺预审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、全程代办等机制；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推行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多规合一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多评合一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多审合一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多测合一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多验合一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新型审批方式。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发改局</w:t>
            </w:r>
            <w:proofErr w:type="gramEnd"/>
          </w:p>
        </w:tc>
        <w:tc>
          <w:tcPr>
            <w:tcW w:w="3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区经信委、市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国土局越城区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分局、区环保局、区农林水利局、区住建局、市人防办、区气象局、消防大队等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建立事项受理标准化制度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设计事项受理统一申请表、办理交接单等样表；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梳理、归并受理所需提供的资料；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编制《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事项受理材料标准化手册》；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对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统一出件的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方式进行规范，确保审批结果材料的安全性、及时性。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发改局</w:t>
            </w:r>
            <w:proofErr w:type="gramEnd"/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区经信委、市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国土局越城区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分局、区环保局、区农林水利局、区住建局、市人防办、区气象局、消防大队等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           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落实网络配套系统建设，建立后台并联审批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提供进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事项后台专用审批平台功能模块设置所需要的表格及相关要素；</w:t>
            </w:r>
          </w:p>
          <w:p w:rsidR="00A644A9" w:rsidRPr="00A644A9" w:rsidRDefault="00A644A9" w:rsidP="00A644A9">
            <w:pPr>
              <w:widowControl/>
              <w:spacing w:line="360" w:lineRule="atLeast"/>
              <w:ind w:left="34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做好开发应用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综合受理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专用审批平台建设工作。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区电子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政务办</w:t>
            </w:r>
          </w:p>
        </w:tc>
        <w:tc>
          <w:tcPr>
            <w:tcW w:w="3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区经信委、市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国土局越城区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分局、区环保局、区农林水利局、区住建局、市人防办、区气象局、消防大队等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落实窗口受理人员</w:t>
            </w:r>
          </w:p>
        </w:tc>
        <w:tc>
          <w:tcPr>
            <w:tcW w:w="4965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落实受理区工作人员，负责受理、咨询业务的培训和交接工作。</w:t>
            </w:r>
          </w:p>
        </w:tc>
        <w:tc>
          <w:tcPr>
            <w:tcW w:w="181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发改局</w:t>
            </w:r>
            <w:proofErr w:type="gramEnd"/>
          </w:p>
        </w:tc>
        <w:tc>
          <w:tcPr>
            <w:tcW w:w="322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区经信委、市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国土局越城区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分局、区环保局、区农林水利局、区住建局、市人防办、区气象局、消防大队等</w:t>
            </w:r>
          </w:p>
        </w:tc>
        <w:tc>
          <w:tcPr>
            <w:tcW w:w="13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</w:tr>
      <w:tr w:rsidR="00A644A9" w:rsidRPr="00A644A9" w:rsidTr="00A644A9">
        <w:trPr>
          <w:jc w:val="center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实施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一窗制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服务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lastRenderedPageBreak/>
              <w:t>模式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对纳入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事项的前台受理、后台审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批、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统一出件的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全部流程进行规划、模拟；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明确各环节各部门的工作职责；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建立对业务审批进行全程跟踪督促机制。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lastRenderedPageBreak/>
              <w:t>区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发改局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、区行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lastRenderedPageBreak/>
              <w:t>政服务中心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lastRenderedPageBreak/>
              <w:t>区级相关审批部门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lastRenderedPageBreak/>
              <w:t>前</w:t>
            </w:r>
          </w:p>
        </w:tc>
      </w:tr>
    </w:tbl>
    <w:p w:rsidR="00A644A9" w:rsidRPr="00A644A9" w:rsidRDefault="00A644A9" w:rsidP="00A644A9">
      <w:pPr>
        <w:widowControl/>
        <w:spacing w:before="100" w:beforeAutospacing="1" w:after="100" w:afterAutospacing="1" w:line="360" w:lineRule="atLeast"/>
        <w:jc w:val="left"/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</w:pPr>
      <w:r w:rsidRPr="00A644A9">
        <w:rPr>
          <w:rFonts w:ascii="Times New Roman" w:eastAsia="仿宋_GB2312" w:hAnsi="Times New Roman" w:cs="Times New Roman"/>
          <w:bCs/>
          <w:color w:val="000000"/>
          <w:spacing w:val="-6"/>
          <w:kern w:val="0"/>
          <w:sz w:val="32"/>
          <w:szCs w:val="32"/>
        </w:rPr>
        <w:lastRenderedPageBreak/>
        <w:br w:type="page"/>
      </w:r>
    </w:p>
    <w:p w:rsidR="00A644A9" w:rsidRPr="00A644A9" w:rsidRDefault="00A644A9" w:rsidP="00A644A9">
      <w:pPr>
        <w:widowControl/>
        <w:spacing w:line="360" w:lineRule="atLeast"/>
        <w:jc w:val="left"/>
        <w:rPr>
          <w:rFonts w:ascii="宋体" w:eastAsia="宋体" w:hAnsi="宋体" w:cs="宋体"/>
          <w:bCs/>
          <w:color w:val="000000"/>
          <w:spacing w:val="-6"/>
          <w:kern w:val="0"/>
          <w:sz w:val="24"/>
          <w:szCs w:val="24"/>
        </w:rPr>
      </w:pPr>
      <w:bookmarkStart w:id="0" w:name="_GoBack"/>
      <w:r w:rsidRPr="00A644A9">
        <w:rPr>
          <w:rFonts w:ascii="Times New Roman" w:eastAsia="黑体" w:hAnsi="Times New Roman" w:cs="宋体" w:hint="eastAsia"/>
          <w:bCs/>
          <w:color w:val="000000"/>
          <w:spacing w:val="-6"/>
          <w:kern w:val="0"/>
          <w:sz w:val="32"/>
          <w:szCs w:val="32"/>
        </w:rPr>
        <w:lastRenderedPageBreak/>
        <w:t>附件</w:t>
      </w:r>
      <w:r w:rsidRPr="00A644A9">
        <w:rPr>
          <w:rFonts w:ascii="Times New Roman" w:eastAsia="黑体" w:hAnsi="Times New Roman" w:cs="Times New Roman"/>
          <w:bCs/>
          <w:color w:val="000000"/>
          <w:spacing w:val="-6"/>
          <w:kern w:val="0"/>
          <w:sz w:val="32"/>
          <w:szCs w:val="32"/>
        </w:rPr>
        <w:t>2</w:t>
      </w:r>
    </w:p>
    <w:bookmarkEnd w:id="0"/>
    <w:p w:rsidR="00A644A9" w:rsidRPr="00A644A9" w:rsidRDefault="00A644A9" w:rsidP="00A644A9">
      <w:pPr>
        <w:widowControl/>
        <w:spacing w:line="360" w:lineRule="atLeast"/>
        <w:jc w:val="center"/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</w:pP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商事登记</w:t>
      </w:r>
      <w:r w:rsidRPr="00A644A9"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  <w:t>“</w:t>
      </w: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一窗受理、集成服务</w:t>
      </w:r>
      <w:r w:rsidRPr="00A644A9"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  <w:t>”</w:t>
      </w: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改革主要任务清单</w:t>
      </w:r>
    </w:p>
    <w:tbl>
      <w:tblPr>
        <w:tblW w:w="14475" w:type="dxa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53"/>
        <w:gridCol w:w="1801"/>
        <w:gridCol w:w="7271"/>
        <w:gridCol w:w="1510"/>
        <w:gridCol w:w="1641"/>
        <w:gridCol w:w="1234"/>
        <w:gridCol w:w="465"/>
      </w:tblGrid>
      <w:tr w:rsidR="00A644A9" w:rsidRPr="00A644A9" w:rsidTr="00A644A9">
        <w:trPr>
          <w:trHeight w:val="375"/>
          <w:tblHeader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工作事项</w:t>
            </w:r>
          </w:p>
        </w:tc>
        <w:tc>
          <w:tcPr>
            <w:tcW w:w="7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牵头部门</w:t>
            </w: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配合部门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完成时间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360"/>
          <w:tblHeader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52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梳理纳入事项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梳理商事登记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审批事项；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确定纳入事项清单。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区市场监管局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区公安分局、区住建局（区交通运输局）、区安监局、消防大队等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03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设立综合窗口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提出商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事登记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审批受理区的布局方案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;</w:t>
            </w:r>
          </w:p>
          <w:p w:rsidR="00A644A9" w:rsidRPr="00A644A9" w:rsidRDefault="00A644A9" w:rsidP="00A644A9">
            <w:pPr>
              <w:widowControl/>
              <w:spacing w:line="360" w:lineRule="atLeas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落实相关设施、设备的配置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;</w:t>
            </w:r>
          </w:p>
          <w:p w:rsidR="00A644A9" w:rsidRPr="00A644A9" w:rsidRDefault="00A644A9" w:rsidP="00A644A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做好受理区的调整、改造和布置。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区市场监管局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区公安分局、区住建局（区交通运输局）、区安监局、消防大队等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49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制定实施细则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制定商事登记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综合受理实施细则。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区市场监管局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区公安分局、区住建局（区交通运输局）、区安监局、消防大队等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42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建立配套工作机制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建立并联审批、模拟审批、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容缺预审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、全程代办等机制。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区市场监管局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区公安分局、区住建局（区交通运输局）、区安监局、消防大队等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23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lastRenderedPageBreak/>
              <w:t>5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建立事项受理标准化制度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设计事项受理统一申请表、办理交接单等样表；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梳理、归并受理所需提供的资料；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编制《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事项受理材料标准化手册》；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对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统一出件的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方式进行规范，确保审批结果材料的安全性、及时性。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区市场监管局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1"/>
              </w:rPr>
              <w:t>区公安分局、区住建局（区交通运输局）、区安监局、消防大队等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20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9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落实网络配套系统建设，建立后台并联审批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提供进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事项后台专用审批平台功能模块设置所需要的表格及相关要素；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做好开发应用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综合受理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专用审批平台建设工作。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区电子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政务办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1"/>
              </w:rPr>
              <w:t>区市场监管局、区行政服务中心、区公安分局、区住建局（区交通运输局）、区安监局、消防大队等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20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8"/>
              </w:rPr>
            </w:pPr>
          </w:p>
        </w:tc>
      </w:tr>
      <w:tr w:rsidR="00A644A9" w:rsidRPr="00A644A9" w:rsidTr="00A644A9">
        <w:trPr>
          <w:trHeight w:val="75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落实窗口受理人员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落实受理区工作人员，负责受理、咨询业务的培训和交接工作。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区市场监管局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1"/>
              </w:rPr>
              <w:t>区公安分局、区住建局（区交通运输局）、区安监局、消防大队等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23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3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实施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一窗制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服务模式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对纳入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事项的前台受理、后台审批、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统一出件的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全部流程进行规划、模拟；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明确各环节各部门的工作职责；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lastRenderedPageBreak/>
              <w:t>3.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建立对业务审批进行全程跟踪督促机制。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区市场监管局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、区行政服务中心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1"/>
              </w:rPr>
              <w:t>区公安分局、区住建局（区交通运输局）、区安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1"/>
              </w:rPr>
              <w:lastRenderedPageBreak/>
              <w:t>监局、消防大队等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lastRenderedPageBreak/>
              <w:t>3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25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A644A9" w:rsidRPr="00A644A9" w:rsidRDefault="00A644A9" w:rsidP="00A644A9">
      <w:pPr>
        <w:widowControl/>
        <w:spacing w:line="360" w:lineRule="atLeast"/>
        <w:jc w:val="left"/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</w:pPr>
      <w:r w:rsidRPr="00A644A9"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24"/>
        </w:rPr>
        <w:lastRenderedPageBreak/>
        <w:t> </w:t>
      </w:r>
    </w:p>
    <w:p w:rsidR="00A644A9" w:rsidRPr="00A644A9" w:rsidRDefault="00A644A9" w:rsidP="00A644A9">
      <w:pPr>
        <w:widowControl/>
        <w:spacing w:before="100" w:beforeAutospacing="1" w:after="100" w:afterAutospacing="1" w:line="360" w:lineRule="atLeast"/>
        <w:jc w:val="left"/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</w:pPr>
      <w:r w:rsidRPr="00A644A9">
        <w:rPr>
          <w:rFonts w:ascii="Times New Roman" w:eastAsia="仿宋_GB2312" w:hAnsi="Times New Roman" w:cs="Times New Roman"/>
          <w:bCs/>
          <w:color w:val="000000"/>
          <w:spacing w:val="-6"/>
          <w:kern w:val="0"/>
          <w:sz w:val="32"/>
          <w:szCs w:val="32"/>
        </w:rPr>
        <w:br w:type="page"/>
      </w:r>
    </w:p>
    <w:p w:rsidR="00A644A9" w:rsidRPr="00A644A9" w:rsidRDefault="00A644A9" w:rsidP="00A644A9">
      <w:pPr>
        <w:widowControl/>
        <w:spacing w:line="360" w:lineRule="atLeast"/>
        <w:jc w:val="left"/>
        <w:rPr>
          <w:rFonts w:ascii="宋体" w:eastAsia="宋体" w:hAnsi="宋体" w:cs="宋体"/>
          <w:bCs/>
          <w:color w:val="000000"/>
          <w:spacing w:val="-6"/>
          <w:kern w:val="0"/>
          <w:sz w:val="24"/>
          <w:szCs w:val="24"/>
        </w:rPr>
      </w:pPr>
      <w:r w:rsidRPr="00A644A9">
        <w:rPr>
          <w:rFonts w:ascii="Times New Roman" w:eastAsia="黑体" w:hAnsi="Times New Roman" w:cs="宋体" w:hint="eastAsia"/>
          <w:bCs/>
          <w:color w:val="000000"/>
          <w:spacing w:val="-6"/>
          <w:kern w:val="0"/>
          <w:sz w:val="32"/>
          <w:szCs w:val="32"/>
        </w:rPr>
        <w:lastRenderedPageBreak/>
        <w:t>附件</w:t>
      </w:r>
      <w:r w:rsidRPr="00A644A9">
        <w:rPr>
          <w:rFonts w:ascii="Times New Roman" w:eastAsia="黑体" w:hAnsi="Times New Roman" w:cs="Times New Roman"/>
          <w:bCs/>
          <w:color w:val="000000"/>
          <w:spacing w:val="-6"/>
          <w:kern w:val="0"/>
          <w:sz w:val="32"/>
          <w:szCs w:val="32"/>
        </w:rPr>
        <w:t>3</w:t>
      </w:r>
    </w:p>
    <w:p w:rsidR="00A644A9" w:rsidRPr="00A644A9" w:rsidRDefault="00A644A9" w:rsidP="00A644A9">
      <w:pPr>
        <w:widowControl/>
        <w:spacing w:line="360" w:lineRule="atLeast"/>
        <w:jc w:val="center"/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</w:pP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社会事务</w:t>
      </w:r>
      <w:r w:rsidRPr="00A644A9"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  <w:t>“</w:t>
      </w: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一窗受理、集成服务</w:t>
      </w:r>
      <w:r w:rsidRPr="00A644A9"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  <w:t>”</w:t>
      </w: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改革主要任务清单</w:t>
      </w:r>
    </w:p>
    <w:tbl>
      <w:tblPr>
        <w:tblW w:w="14460" w:type="dxa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39"/>
        <w:gridCol w:w="1858"/>
        <w:gridCol w:w="6168"/>
        <w:gridCol w:w="1525"/>
        <w:gridCol w:w="2642"/>
        <w:gridCol w:w="1263"/>
        <w:gridCol w:w="465"/>
      </w:tblGrid>
      <w:tr w:rsidR="00A644A9" w:rsidRPr="00A644A9" w:rsidTr="00A644A9">
        <w:trPr>
          <w:trHeight w:val="375"/>
          <w:tblHeader/>
          <w:jc w:val="center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工作事项</w:t>
            </w:r>
          </w:p>
        </w:tc>
        <w:tc>
          <w:tcPr>
            <w:tcW w:w="6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1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牵头部门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配合部门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完成时间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360"/>
          <w:tblHeader/>
          <w:jc w:val="center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65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梳理纳入事项</w:t>
            </w:r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梳理社会事务审批事项；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确定纳入事项清单。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区民政局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区教体局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、区司法局、区卫计局、区人力社保局、区文广局、区科技局等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68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设立综合窗口</w:t>
            </w:r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4.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提出社会事务审批受理区的布局方案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;</w:t>
            </w:r>
          </w:p>
          <w:p w:rsidR="00A644A9" w:rsidRPr="00A644A9" w:rsidRDefault="00A644A9" w:rsidP="00A644A9">
            <w:pPr>
              <w:widowControl/>
              <w:spacing w:line="360" w:lineRule="atLeas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5.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落实相关设施、设备的配置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;</w:t>
            </w:r>
          </w:p>
          <w:p w:rsidR="00A644A9" w:rsidRPr="00A644A9" w:rsidRDefault="00A644A9" w:rsidP="00A644A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6.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做好受理区的调整、改造和布置。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区民政局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区教体局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、区司法局、区卫计局、区人力社保局、区文广局、区科技局等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39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制定实施细则</w:t>
            </w:r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制定社会组织机构登记综合受理实施细则。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区民政局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区教体局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、区司法局、区卫计局、区人力社保局、区文广局、区科技局等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38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建立配套工作机制</w:t>
            </w:r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建立并联审批、模拟审批、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容缺预审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、全程代办等机制。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区民政局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区教体局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、区司法局、区卫计局、区人力社保局、区文广局、区科技局等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ind w:left="10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204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建立事项受理标准化制度</w:t>
            </w:r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设计事项受理统一申请表、办理交接单等样表；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梳理、归并受理所需提供的资料；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编制《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事项受理材料标准化手册》；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对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统一出件的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方式进行规范，确保审批结果材料的安全性、及时性。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区民政局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区教体局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、区司法局、区卫计局、区人力社保局、区文广局、区科技局等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68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落实网络配套系统建设，建立后台并联审批</w:t>
            </w:r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提供进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事项后台专用审批平台功能模块设置所需要的表格及相关要素；</w:t>
            </w:r>
          </w:p>
          <w:p w:rsidR="00A644A9" w:rsidRPr="00A644A9" w:rsidRDefault="00A644A9" w:rsidP="00A644A9">
            <w:pPr>
              <w:widowControl/>
              <w:spacing w:line="360" w:lineRule="atLeast"/>
              <w:ind w:left="34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做好开发应用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综合受理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专用审批平台建设工作。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区电子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政务办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区民政局、区教体局、区司法局、区卫计局、区人力社保局、区文广局、区科技局等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29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落实窗口受理人员</w:t>
            </w:r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落实受理区工作人员，负责受理、咨询业务的培训和交接工作。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区民政局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区教体局、区司法局、区卫计局、区人力社保局、区文广局、区科技局等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62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实施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一窗制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服务模式</w:t>
            </w:r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对纳入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事项的前台受理、后台审批、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统一出件的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全部流程进行规划、模拟；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明确各环节各部门的工作职责；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建立对业务审批进行全程跟踪督促机制。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区民政局、区行政服务中心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区教体局、区司法局、区卫计局、区人力社保局、区文广局、区科技局等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A644A9" w:rsidRPr="00A644A9" w:rsidRDefault="00A644A9" w:rsidP="00A644A9">
      <w:pPr>
        <w:widowControl/>
        <w:spacing w:line="360" w:lineRule="atLeast"/>
        <w:jc w:val="left"/>
        <w:rPr>
          <w:rFonts w:ascii="宋体" w:eastAsia="宋体" w:hAnsi="宋体" w:cs="宋体"/>
          <w:bCs/>
          <w:color w:val="000000"/>
          <w:spacing w:val="-6"/>
          <w:kern w:val="0"/>
          <w:sz w:val="24"/>
          <w:szCs w:val="24"/>
        </w:rPr>
      </w:pPr>
      <w:r w:rsidRPr="00A644A9">
        <w:rPr>
          <w:rFonts w:ascii="Times New Roman" w:eastAsia="宋体" w:hAnsi="Times New Roman" w:cs="Times New Roman"/>
          <w:bCs/>
          <w:color w:val="000000"/>
          <w:spacing w:val="-6"/>
          <w:kern w:val="0"/>
          <w:sz w:val="24"/>
          <w:szCs w:val="24"/>
        </w:rPr>
        <w:t> </w:t>
      </w:r>
    </w:p>
    <w:p w:rsidR="00A644A9" w:rsidRPr="00A644A9" w:rsidRDefault="00A644A9" w:rsidP="00A644A9">
      <w:pPr>
        <w:widowControl/>
        <w:spacing w:line="360" w:lineRule="atLeast"/>
        <w:jc w:val="left"/>
        <w:rPr>
          <w:rFonts w:ascii="宋体" w:eastAsia="宋体" w:hAnsi="宋体" w:cs="宋体"/>
          <w:bCs/>
          <w:color w:val="000000"/>
          <w:spacing w:val="-6"/>
          <w:kern w:val="0"/>
          <w:sz w:val="24"/>
          <w:szCs w:val="24"/>
        </w:rPr>
      </w:pPr>
      <w:r w:rsidRPr="00A644A9">
        <w:rPr>
          <w:rFonts w:ascii="Times New Roman" w:eastAsia="黑体" w:hAnsi="Times New Roman" w:cs="宋体" w:hint="eastAsia"/>
          <w:bCs/>
          <w:color w:val="000000"/>
          <w:spacing w:val="-6"/>
          <w:kern w:val="0"/>
          <w:sz w:val="32"/>
          <w:szCs w:val="32"/>
        </w:rPr>
        <w:lastRenderedPageBreak/>
        <w:t>附件</w:t>
      </w:r>
      <w:r w:rsidRPr="00A644A9">
        <w:rPr>
          <w:rFonts w:ascii="Times New Roman" w:eastAsia="黑体" w:hAnsi="Times New Roman" w:cs="Times New Roman"/>
          <w:bCs/>
          <w:color w:val="000000"/>
          <w:spacing w:val="-6"/>
          <w:kern w:val="0"/>
          <w:sz w:val="32"/>
          <w:szCs w:val="32"/>
        </w:rPr>
        <w:t>4</w:t>
      </w:r>
    </w:p>
    <w:p w:rsidR="00A644A9" w:rsidRPr="00A644A9" w:rsidRDefault="00A644A9" w:rsidP="00A644A9">
      <w:pPr>
        <w:widowControl/>
        <w:spacing w:line="360" w:lineRule="atLeast"/>
        <w:jc w:val="center"/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</w:pP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公用事业</w:t>
      </w:r>
      <w:r w:rsidRPr="00A644A9"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  <w:t>“</w:t>
      </w: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一窗受理、集成服务</w:t>
      </w:r>
      <w:r w:rsidRPr="00A644A9"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  <w:t>”</w:t>
      </w: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改革主要任务清单</w:t>
      </w:r>
    </w:p>
    <w:tbl>
      <w:tblPr>
        <w:tblW w:w="14460" w:type="dxa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81"/>
        <w:gridCol w:w="2062"/>
        <w:gridCol w:w="6966"/>
        <w:gridCol w:w="1597"/>
        <w:gridCol w:w="1409"/>
        <w:gridCol w:w="1380"/>
        <w:gridCol w:w="465"/>
      </w:tblGrid>
      <w:tr w:rsidR="00A644A9" w:rsidRPr="00A644A9" w:rsidTr="00A644A9">
        <w:trPr>
          <w:trHeight w:val="375"/>
          <w:tblHeader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工作事项</w:t>
            </w:r>
          </w:p>
        </w:tc>
        <w:tc>
          <w:tcPr>
            <w:tcW w:w="7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牵头部门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配合部门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完成时间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360"/>
          <w:tblHeader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750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梳理纳入事项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梳理公用事业审批事项；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确定纳入事项清单。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分局、区公安分局等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230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设立综合窗口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7.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提出公用事业审批受理区的布局方案；</w:t>
            </w:r>
          </w:p>
          <w:p w:rsidR="00A644A9" w:rsidRPr="00A644A9" w:rsidRDefault="00A644A9" w:rsidP="00A644A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8.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落实相关设施、设备的配置；</w:t>
            </w:r>
          </w:p>
          <w:p w:rsidR="00A644A9" w:rsidRPr="00A644A9" w:rsidRDefault="00A644A9" w:rsidP="00A644A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9.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做好受理区的调整、改造和布置。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分局、区公安分局等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900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制定实施细则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制定公用事业综合受理实施细则。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分局、区公安分局等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245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建立配套工作机制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建立并联审批、模拟审批、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容缺预审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、全程代办等机制。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分局、区公安分局等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ind w:left="10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725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建立事项受理标准化制度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设计事项受理统一申请表、办理交接单等样表；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梳理、归并受理所需提供的资料；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编制《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事项受理材料标准化手册》；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对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统一出件的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方式进行规范，确保审批结果材料的安全性、及时性。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分局、区公安分局等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680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落实网络配套系统建设，建立后台并联审批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提供进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事项后台专用审批平台功能模块设置所需要的表格及相关要素；</w:t>
            </w:r>
          </w:p>
          <w:p w:rsidR="00A644A9" w:rsidRPr="00A644A9" w:rsidRDefault="00A644A9" w:rsidP="00A644A9">
            <w:pPr>
              <w:widowControl/>
              <w:spacing w:line="360" w:lineRule="atLeast"/>
              <w:ind w:left="34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做好开发应用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综合受理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专用审批平台建设工作。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区电子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政务办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区住建局、市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分局、区公安分局等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1620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落实窗口受理人员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落实受理区工作人员，负责受理、咨询业务的培训和交接工作。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分局、区公安分局等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644A9" w:rsidRPr="00A644A9" w:rsidTr="00A644A9">
        <w:trPr>
          <w:trHeight w:val="2220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实施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一窗制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服务模式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对纳入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“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”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事项的前台受理、后台审批、</w:t>
            </w:r>
            <w:proofErr w:type="gramStart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统一出件的</w:t>
            </w:r>
            <w:proofErr w:type="gramEnd"/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全部流程进行规划、模拟；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明确各环节各部门的工作职责；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3.</w:t>
            </w:r>
            <w:r w:rsidRPr="00A644A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建立对业务审批进行全程跟踪督促机制。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区住建局、区行政服务中心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市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规划局越城区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分局、区公安分局等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日前</w:t>
            </w:r>
          </w:p>
        </w:tc>
        <w:tc>
          <w:tcPr>
            <w:tcW w:w="480" w:type="dxa"/>
            <w:tcBorders>
              <w:bottom w:val="nil"/>
            </w:tcBorders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A644A9" w:rsidRPr="00A644A9" w:rsidRDefault="00A644A9" w:rsidP="00A644A9">
      <w:pPr>
        <w:widowControl/>
        <w:spacing w:line="360" w:lineRule="atLeast"/>
        <w:jc w:val="left"/>
        <w:rPr>
          <w:rFonts w:ascii="宋体" w:eastAsia="宋体" w:hAnsi="宋体" w:cs="宋体"/>
          <w:bCs/>
          <w:color w:val="000000"/>
          <w:spacing w:val="-6"/>
          <w:kern w:val="0"/>
          <w:sz w:val="24"/>
          <w:szCs w:val="24"/>
        </w:rPr>
      </w:pPr>
      <w:r w:rsidRPr="00A644A9">
        <w:rPr>
          <w:rFonts w:ascii="Times New Roman" w:eastAsia="黑体" w:hAnsi="Times New Roman" w:cs="宋体" w:hint="eastAsia"/>
          <w:bCs/>
          <w:color w:val="000000"/>
          <w:spacing w:val="-6"/>
          <w:kern w:val="0"/>
          <w:sz w:val="32"/>
          <w:szCs w:val="32"/>
        </w:rPr>
        <w:lastRenderedPageBreak/>
        <w:t>附件</w:t>
      </w:r>
      <w:r w:rsidRPr="00A644A9">
        <w:rPr>
          <w:rFonts w:ascii="Times New Roman" w:eastAsia="黑体" w:hAnsi="Times New Roman" w:cs="Times New Roman"/>
          <w:bCs/>
          <w:color w:val="000000"/>
          <w:spacing w:val="-6"/>
          <w:kern w:val="0"/>
          <w:sz w:val="32"/>
          <w:szCs w:val="32"/>
        </w:rPr>
        <w:t>5</w:t>
      </w:r>
    </w:p>
    <w:p w:rsidR="00A644A9" w:rsidRPr="00A644A9" w:rsidRDefault="00A644A9" w:rsidP="00A644A9">
      <w:pPr>
        <w:widowControl/>
        <w:spacing w:line="360" w:lineRule="atLeast"/>
        <w:jc w:val="center"/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</w:pP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镇街便民服务中心</w:t>
      </w:r>
      <w:r w:rsidRPr="00A644A9"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  <w:t>“</w:t>
      </w: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一窗受理，集成服务</w:t>
      </w:r>
      <w:r w:rsidRPr="00A644A9">
        <w:rPr>
          <w:rFonts w:ascii="Times New Roman" w:eastAsia="方正小标宋简体" w:hAnsi="Times New Roman" w:cs="Times New Roman"/>
          <w:bCs/>
          <w:color w:val="000000"/>
          <w:spacing w:val="-6"/>
          <w:kern w:val="0"/>
          <w:sz w:val="44"/>
          <w:szCs w:val="44"/>
        </w:rPr>
        <w:t>”</w:t>
      </w:r>
      <w:r w:rsidRPr="00A644A9">
        <w:rPr>
          <w:rFonts w:ascii="Times New Roman" w:eastAsia="方正小标宋简体" w:hAnsi="Times New Roman" w:cs="宋体" w:hint="eastAsia"/>
          <w:bCs/>
          <w:color w:val="000000"/>
          <w:spacing w:val="-6"/>
          <w:kern w:val="0"/>
          <w:sz w:val="44"/>
          <w:szCs w:val="44"/>
        </w:rPr>
        <w:t>改革主要任务清单</w:t>
      </w:r>
    </w:p>
    <w:tbl>
      <w:tblPr>
        <w:tblW w:w="13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10"/>
        <w:gridCol w:w="2550"/>
        <w:gridCol w:w="10515"/>
      </w:tblGrid>
      <w:tr w:rsidR="00A644A9" w:rsidRPr="00A644A9" w:rsidTr="00A644A9">
        <w:trPr>
          <w:tblHeader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工作事项</w:t>
            </w:r>
          </w:p>
        </w:tc>
        <w:tc>
          <w:tcPr>
            <w:tcW w:w="10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具体内容</w:t>
            </w:r>
          </w:p>
        </w:tc>
      </w:tr>
      <w:tr w:rsidR="00A644A9" w:rsidRPr="00A644A9" w:rsidTr="00A644A9">
        <w:trPr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梳理纳入事项</w:t>
            </w:r>
          </w:p>
        </w:tc>
        <w:tc>
          <w:tcPr>
            <w:tcW w:w="10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梳理目前需跑多个部门办理的事项，并确定纳入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目录。</w:t>
            </w:r>
          </w:p>
        </w:tc>
      </w:tr>
      <w:tr w:rsidR="00A644A9" w:rsidRPr="00A644A9" w:rsidTr="00A644A9">
        <w:trPr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制定受理实施细则</w:t>
            </w:r>
          </w:p>
        </w:tc>
        <w:tc>
          <w:tcPr>
            <w:tcW w:w="10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制定综合受理实施细则及相关配套工作机制和一站式代办制度。</w:t>
            </w:r>
          </w:p>
        </w:tc>
      </w:tr>
      <w:tr w:rsidR="00A644A9" w:rsidRPr="00A644A9" w:rsidTr="00A644A9">
        <w:trPr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建立事项受理标准化制度</w:t>
            </w:r>
          </w:p>
        </w:tc>
        <w:tc>
          <w:tcPr>
            <w:tcW w:w="10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设计事项受理统一申请表、办理交接单等样表；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梳理、归并受理所需提供的资料；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编制《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事项受理材料标准化手册》；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对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统一出件的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方式进行规范，确保审批结果材料的安全性、及时性。</w:t>
            </w:r>
          </w:p>
        </w:tc>
      </w:tr>
      <w:tr w:rsidR="00A644A9" w:rsidRPr="00A644A9" w:rsidTr="00A644A9">
        <w:trPr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落实窗口受理人员</w:t>
            </w:r>
          </w:p>
        </w:tc>
        <w:tc>
          <w:tcPr>
            <w:tcW w:w="10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落实综合窗口人员力量；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明确综合窗口受理工作人员，并进行相应业务的培训；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提供受理前咨询引导服务，并对工作人员进行相应业务的培训。</w:t>
            </w:r>
          </w:p>
        </w:tc>
      </w:tr>
      <w:tr w:rsidR="00A644A9" w:rsidRPr="00A644A9" w:rsidTr="00A644A9">
        <w:trPr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完善便民服务中心功能布局</w:t>
            </w:r>
          </w:p>
        </w:tc>
        <w:tc>
          <w:tcPr>
            <w:tcW w:w="10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落实场地、设备，对相关区域进行调整、布置；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制作相关的宣传品、引导指示牌、受理材料清单，工作流程图、示意图等。</w:t>
            </w:r>
          </w:p>
        </w:tc>
      </w:tr>
      <w:tr w:rsidR="00A644A9" w:rsidRPr="00A644A9" w:rsidTr="00A644A9">
        <w:trPr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实施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一窗制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服务模式</w:t>
            </w:r>
          </w:p>
        </w:tc>
        <w:tc>
          <w:tcPr>
            <w:tcW w:w="10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对纳入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一窗受理</w:t>
            </w: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事项的前台受理、后台审批、</w:t>
            </w:r>
            <w:proofErr w:type="gramStart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统一出件的</w:t>
            </w:r>
            <w:proofErr w:type="gramEnd"/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全部流程进行规划、模拟，明确各环节各部门的工作职责，建立对业务审批进行全程跟踪督促机制。</w:t>
            </w:r>
          </w:p>
        </w:tc>
      </w:tr>
      <w:tr w:rsidR="00A644A9" w:rsidRPr="00A644A9" w:rsidTr="00A644A9">
        <w:trPr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宣传报道和资料报送</w:t>
            </w:r>
          </w:p>
        </w:tc>
        <w:tc>
          <w:tcPr>
            <w:tcW w:w="10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做好信息宣传工作，及时将特色、亮点工作报市领导小组办公室；</w:t>
            </w:r>
          </w:p>
          <w:p w:rsidR="00A644A9" w:rsidRPr="00A644A9" w:rsidRDefault="00A644A9" w:rsidP="00A644A9">
            <w:pPr>
              <w:widowControl/>
              <w:spacing w:line="36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644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Pr="00A644A9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根据省、市改革要求，及时上报相关材料。</w:t>
            </w:r>
          </w:p>
        </w:tc>
      </w:tr>
    </w:tbl>
    <w:p w:rsidR="001F5A63" w:rsidRDefault="001F5A63"/>
    <w:sectPr w:rsidR="001F5A63" w:rsidSect="00A644A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EBA"/>
    <w:rsid w:val="001F5A63"/>
    <w:rsid w:val="00603EBA"/>
    <w:rsid w:val="00A6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A644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A644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A644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A644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7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34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C3DFBE-1E82-4232-8AFC-A979AD49D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684</Words>
  <Characters>3904</Characters>
  <Application>Microsoft Office Word</Application>
  <DocSecurity>0</DocSecurity>
  <Lines>32</Lines>
  <Paragraphs>9</Paragraphs>
  <ScaleCrop>false</ScaleCrop>
  <Company/>
  <LinksUpToDate>false</LinksUpToDate>
  <CharactersWithSpaces>4579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2018-07-16T08:53:00Z</dcterms:created>
  <dcterms:modified xsi:type="dcterms:W3CDTF">2018-07-16T08:54:00Z</dcterms:modified>
</cp:coreProperties>
</file>