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19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"/>
        <w:gridCol w:w="1080"/>
        <w:gridCol w:w="1995"/>
        <w:gridCol w:w="4770"/>
        <w:gridCol w:w="1560"/>
        <w:gridCol w:w="1590"/>
        <w:gridCol w:w="1395"/>
        <w:gridCol w:w="1410"/>
      </w:tblGrid>
      <w:tr w:rsidR="00AA04E1" w:rsidRPr="00AA04E1" w:rsidTr="00AA04E1">
        <w:trPr>
          <w:trHeight w:val="285"/>
        </w:trPr>
        <w:tc>
          <w:tcPr>
            <w:tcW w:w="13170" w:type="dxa"/>
            <w:gridSpan w:val="8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附件</w:t>
            </w:r>
          </w:p>
        </w:tc>
      </w:tr>
      <w:tr w:rsidR="00AA04E1" w:rsidRPr="00AA04E1" w:rsidTr="00AA04E1">
        <w:trPr>
          <w:trHeight w:val="600"/>
        </w:trPr>
        <w:tc>
          <w:tcPr>
            <w:tcW w:w="13170" w:type="dxa"/>
            <w:gridSpan w:val="8"/>
            <w:tcBorders>
              <w:bottom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36"/>
                <w:szCs w:val="36"/>
              </w:rPr>
            </w:pPr>
            <w:bookmarkStart w:id="0" w:name="_GoBack"/>
            <w:r w:rsidRPr="00AA04E1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36"/>
                <w:szCs w:val="36"/>
              </w:rPr>
              <w:t>南平市公共资源配置领域政府信息公开清单</w:t>
            </w:r>
            <w:bookmarkEnd w:id="0"/>
          </w:p>
        </w:tc>
      </w:tr>
      <w:tr w:rsidR="00AA04E1" w:rsidRPr="00AA04E1" w:rsidTr="00AA04E1">
        <w:trPr>
          <w:trHeight w:val="312"/>
        </w:trPr>
        <w:tc>
          <w:tcPr>
            <w:tcW w:w="3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公开领域</w:t>
            </w:r>
          </w:p>
        </w:tc>
        <w:tc>
          <w:tcPr>
            <w:tcW w:w="19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公开事项</w:t>
            </w:r>
          </w:p>
        </w:tc>
        <w:tc>
          <w:tcPr>
            <w:tcW w:w="47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公开内容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公开时限</w:t>
            </w:r>
          </w:p>
        </w:tc>
        <w:tc>
          <w:tcPr>
            <w:tcW w:w="15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公开方式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责任主体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监督渠道</w:t>
            </w:r>
          </w:p>
        </w:tc>
      </w:tr>
      <w:tr w:rsidR="00AA04E1" w:rsidRPr="00AA04E1" w:rsidTr="00AA04E1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AA04E1" w:rsidRPr="00AA04E1" w:rsidTr="00AA04E1">
        <w:trPr>
          <w:trHeight w:val="1020"/>
        </w:trPr>
        <w:tc>
          <w:tcPr>
            <w:tcW w:w="3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住房保障领域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保障性安居工程政策法规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住房保障部门发布的有关保障性住房（公租房、经适房、限价房）和棚户区改造等规范性文件。内容：文件名称、文号、发布部门、发布日期、正文等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自信息形成或变更之日起20个工作日内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本级政府门户网站、本部门政府网站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市、县（区）住建局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76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保障性安居工程建设计划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保障性安居工程年度建设计划任务量。内容：开工套数、基本建成套数等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自信息形成或变更之日起20个工作日内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本级政府门户网站、本部门政府网站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市、县（区）住建局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76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列入年度建设计划项目清单。内容：项目名称、建设地址、建设单位、建设规模、建设面积、总投资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自信息形成或变更之日起20个工作日内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本级政府门户网站、本部门政府网站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市、县（区）住建局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88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保障性安居工程建设计划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建设进展情况通报。内容：完成投资情况、开工情况、基本建成情况、配租配售情况等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自信息形成或变更之日起20个工作日内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本级政府门户网站、本部门政府网站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市、县（区）住建局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88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保障性住房保障标准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公租房、经适房、限价房等申请的条件标准。内容：房源类型、保障对象、家庭收入、资产、人均住房面积等。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自信息形成或变更之日起20个工作日内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本级政府门户网站、本部门政府网站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市、县（区）住建局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103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保障性住房分配信息（分配房源、分配程序、分配过程、分配结果等信息）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分配房源信息。内容：项目名称、所在城区、保障房类型、建设地址、项目状态等。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自信息形成或变更之日起20个工作日内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本级政府门户网站、本部门政府网站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市、县（区）住建局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76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9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保障性住房分配信息（分配房源、分配程序、分配过程、分配结果等信息）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分配程序信息。按照批次分配计划，制定保障性住房批次分配程序。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自信息形成或变更之日起20个工作日内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本级政府门户网站、本部门政府网站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市、县（区）住建局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76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分配过程信息。市县住房保障部门执行批次分配程序产生的信息。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自信息形成或变更之日起20个工作日内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本级政府门户网站、本部门政府网站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市、县（区）住建局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9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分配结果信息。内容：分配对象姓名、分配保障性住房类型等。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自信息形成或变更之日起20个工作日内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本级政府门户网站、本部门政府网站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市、县（区）住建局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765"/>
        </w:trPr>
        <w:tc>
          <w:tcPr>
            <w:tcW w:w="3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住房保障领域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保障性住房退出信息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保障对象名称、原租购保障性住房类型等。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自信息形成或变更之日起20个工作日内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本级政府门户网站、本部门政府网站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市、县（区）住建局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82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保障性住房办事指南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申请审批的具体事项、依据、条件、程序、期限以及需要提交的相关材料。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自信息形成或变更之日起20个工作日内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本级政府门户网站、本部门政府网站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市、县（区）住建局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73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农村危房改造相关政策措施执行情况信息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包括农村危房改造政策、对象认定过程、补助资源分配、改造结果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自信息形成或变更之日起20个工作日内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本级政府门户网站、本部门政府网站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市、县（区）住建局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78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国有垦区危旧房改造相关政策措施执行情况信息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包括国有垦区危旧房改造政策、补助范围、对象认定及工作程序、资金补助标准、任务安排及完成情况等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自信息形成或变更之日起20个工作日内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本级政府门户网站、本部门政府网站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市、县（区）农业局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765"/>
        </w:trPr>
        <w:tc>
          <w:tcPr>
            <w:tcW w:w="3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国有土地使用权出让领域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土地供应计划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包括计划供应面积、用途、比例等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政府批复供地计划之日起20个工作日内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中国土地市场网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市、县（区）国土资源局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76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出让公告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包括出让方式、宗地坐落、面积、土地用途、起始价、加价幅度、交易时间、地点、报名申请条件、竞买保证金缴纳账号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与出让公告发布之日同时发布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中国土地市场网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市、县（区）国土资源局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51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成交公示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包括受让人、出让方式、宗地坐落、面积、土地用途、出让价款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交易结束后10个工作日内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中国土地市场网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市、县（区）国土资源局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51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供应结果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包括受让人、出让方式、宗地坐落、面积、土地用途、出让价款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出让合同签订后10个工作日内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中国土地市场网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市、县（区）国土资源局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2520"/>
        </w:trPr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矿业权出让领域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出让公告信息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包括出让人和矿业权交易平台的名称、场所；出让矿业权的简要情况，包括项目名称、矿种、地理位置、拐点范围坐标、面积、资源储备（勘查工作程度）、开采标高、资源开发利用情况、拟出让年限等，以及勘查投入、矿山地质环境保护及土地复垦要求等；投标人或者竞买人的资质条件；出让方式及交易的时间、地点；获取招标、拍卖、挂牌文件的途径和申请登记的起止时间及方式；确定中标人、竞得人的标准和方法；交易保证金的缴纳和处置；风险提示：对交易矿业权异议的处理方式；需要公告的其他内容等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在投标截止日、公开拍卖日或者挂牌起始日２０个工作日前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国土资源部门户网站、同级国土资源主管部门门户网站、矿业权交易平台交易大厅、有必要采取的其他方式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市国土局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1800"/>
        </w:trPr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矿业权出让领域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出让结果公示信息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中标人或者竞得人的名称、场所；成交时间、地点；中标或者竞得的勘查区块、面积开采范围的简要情况；矿业权成交价格及缴交时间、方式；申请办理矿业权登记的时限；对公示内容提出异议的方式及途径；应当公示的其他内容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在发出中标通知书或者签订成交确认书后５个工作日内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国土资源部门户网站、同级国土资源主管部门门户网站、矿业权交易平台交易大厅、有必要采取的其他方式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市国土局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795"/>
        </w:trPr>
        <w:tc>
          <w:tcPr>
            <w:tcW w:w="3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4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政府采购领域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采购项目公告、采购文件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按照《政府采购信息公告管理办法》（财政部令第19号）和《财政部关于做好政府采购信息公开工作的通知》（财库〔2015〕135号）执行。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自信息形成或变更之日起20个工作日内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省级以上财政部门指定的政府采购信息发布媒体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采购人或其委托的采购代理机构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81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采购项目预算金额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按照《政府采购信息公告管理办法》（财政部令第19号）和《财政部关于做好政府采购信息公开工作的通知》（财库〔2015〕135号）执行。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自信息形成或变更之日起20个工作日内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省级以上财政部门指定的政府采购信息发布媒体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采购人或其委托的采购代理机构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78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采购结果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按照《政府采购信息公告管理办法》（财政部令第19号）和《财政部关于做好政府采购信息公开工作的通知》（财库〔2015〕135号）执行。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自信息形成或变更之日起20个工作日内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省级以上财政部门指定的政府采购信息发布媒体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采购人或其委托的采购代理机构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79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采购合同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按照《政府采购信息公告管理办法》（财政部令第19号）和《财政部关于做好政府采购信息公开工作的通知》（财库〔2015〕135号）执行。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自政府采购合同签订之日起2个工作日内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省级以上财政部门指定的政府采购信息发布媒体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采购人或其委托的采购代理机构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79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财政部门作出的投诉和监督检查等处理决定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相关当事人名称及地址、投诉涉及采购项目名称及采购日期、投诉事项或监督检查主要事项、处理依据、处理结果、执法机关名称、公告日期。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自完成并履行有关报审程序后5个工作日内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省级以上财政部门指定的政府采购信息发布媒体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市、县（区）财政局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96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对集中采购机构的考核结果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集中采购机构名称、考核内容、考核方法、考核结果、存在问题、考核单位。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自完成并履行有关报审程序后5个工作日内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省级以上财政部门指定的政府采购信息发布媒体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市、县（区）财政局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11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违法失信行为记录等监督处罚信息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当事人名称、违法失信行为的具体情形、处理依据、处理结果、处理日期、执法机关名称。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作出或者变更行政处罚决定之日起7个工作日内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省级以上财政部门指定的政府采购信息发布媒体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市、县（区）财政局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960"/>
        </w:trPr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国有产权交易领域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产权交易决策及批准信息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交易项目简要情况、批准时间、批准单位等信息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自信息形成或变更之日起5个工作日内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公共资源交易中心和产权交易机构门户网站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国有资产监督管理相关机构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1020"/>
        </w:trPr>
        <w:tc>
          <w:tcPr>
            <w:tcW w:w="3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5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国有产权交易领域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交易项目信息（含挂牌价格、评估、审计结果）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交易项目挂牌价格、受让方资格条件、竞价方式、价款支付期限要求、债权债务处置要求、交易保证金、需要受让方接受的条件等信息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自信息形成或变更之日起20个工作日内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公共资源交易中心和产权交易机构门户网站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国有产权出让方或其委托代理机构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76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成交公告（含交易价格）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成交项目名称、受让方名称、成交价格、监督举报电话等信息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自信息形成或变更之日起20个工作日内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公共资源交易中心和产权交易机构门户网站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国有产权出让方或其委托代理机构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76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违法失信行为及监督处罚信息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违法失信行为时间、内容、造成的后果、处罚情况等信息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自信息形成或变更之日起7个工作日内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公共资源交易中心和产权交易机构门户网站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国有产权出让方或其委托代理机构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765"/>
        </w:trPr>
        <w:tc>
          <w:tcPr>
            <w:tcW w:w="3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工程建设招标投标领域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必须招标项目的审批核准备案信息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自信息形成或变更之日起20个工作日内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本级政府门户网站、本部门政府网站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项目审批部门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76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市场主体信用信息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自信息形成或变更之日起20个工作日内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本级政府门户网站、本部门政府网站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各公共资源交易监管机构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76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招标公告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包括招标条件、项目概况与招标范围、投标人资格要求、招标文件获取、投标文件递交等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自信息形成或变更之日起20个工作日内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国家或省指定的媒介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招标人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10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中标候选人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包括中标候选人排序、名称、投标报价、工期、评标情况、项目负责人、个人业绩、有关证书及编号、中标候选人在投标文件中填报的资格能力条件、提出异议的渠道和方式等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自信息形成或变更之日起20个工作日内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国家或省指定的媒介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招标人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51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中标结果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确定中标人之日起3个工作日内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国家或省指定的媒介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招标人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51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合同订立和履行等信息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订立合同之日起7个工作日内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国家或省指定的媒介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招标人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795"/>
        </w:trPr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林业产权交易领域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县属国有林权流转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流转决策及批准信息、交易项目信息、转让价格、交易价格等信息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林权变更之日起20个工作日内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公开部门政府网站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县（市、区）林业局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945"/>
        </w:trPr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排污权交易领域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排污权收储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包括收储项目名称、收储量等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自信息形成或变更之日起20个工作日内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本级政府门户网站、本部门政府网站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市、县（区）环保局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  <w:tr w:rsidR="00AA04E1" w:rsidRPr="00AA04E1" w:rsidTr="00AA04E1">
        <w:trPr>
          <w:trHeight w:val="975"/>
        </w:trPr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药品采购采购领域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公开药品挂网、销售、支付、采购等信息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自信息形成或变更之日起20个工作日内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本级政府门户网站、本部门政府网站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市医保局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04E1" w:rsidRPr="00AA04E1" w:rsidRDefault="00AA04E1" w:rsidP="00AA04E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04E1">
              <w:rPr>
                <w:rFonts w:ascii="宋体" w:eastAsia="宋体" w:hAnsi="宋体" w:cs="宋体" w:hint="eastAsia"/>
                <w:kern w:val="0"/>
                <w:szCs w:val="21"/>
              </w:rPr>
              <w:t>同级政府政务公开主管部门</w:t>
            </w:r>
          </w:p>
        </w:tc>
      </w:tr>
    </w:tbl>
    <w:p w:rsidR="00AA04E1" w:rsidRPr="00AA04E1" w:rsidRDefault="00AA04E1" w:rsidP="00AA04E1">
      <w:pPr>
        <w:widowControl/>
        <w:spacing w:line="450" w:lineRule="atLeast"/>
        <w:jc w:val="center"/>
        <w:rPr>
          <w:rFonts w:ascii="微软雅黑" w:eastAsia="微软雅黑" w:hAnsi="微软雅黑" w:cs="宋体"/>
          <w:kern w:val="0"/>
          <w:szCs w:val="21"/>
        </w:rPr>
      </w:pPr>
      <w:r w:rsidRPr="00AA04E1">
        <w:rPr>
          <w:rFonts w:ascii="微软雅黑" w:eastAsia="微软雅黑" w:hAnsi="微软雅黑" w:cs="宋体" w:hint="eastAsia"/>
          <w:kern w:val="0"/>
          <w:szCs w:val="21"/>
        </w:rPr>
        <w:t>  </w:t>
      </w:r>
    </w:p>
    <w:p w:rsidR="00AA04E1" w:rsidRPr="00AA04E1" w:rsidRDefault="00AA04E1" w:rsidP="00AA04E1">
      <w:pPr>
        <w:widowControl/>
        <w:spacing w:line="450" w:lineRule="atLeast"/>
        <w:jc w:val="center"/>
        <w:rPr>
          <w:rFonts w:ascii="微软雅黑" w:eastAsia="微软雅黑" w:hAnsi="微软雅黑" w:cs="宋体" w:hint="eastAsia"/>
          <w:kern w:val="0"/>
          <w:szCs w:val="21"/>
        </w:rPr>
      </w:pPr>
      <w:r w:rsidRPr="00AA04E1">
        <w:rPr>
          <w:rFonts w:ascii="微软雅黑" w:eastAsia="微软雅黑" w:hAnsi="微软雅黑" w:cs="宋体" w:hint="eastAsia"/>
          <w:kern w:val="0"/>
          <w:szCs w:val="21"/>
        </w:rPr>
        <w:t> </w:t>
      </w:r>
    </w:p>
    <w:p w:rsidR="00AA04E1" w:rsidRPr="00AA04E1" w:rsidRDefault="00AA04E1" w:rsidP="00AA04E1">
      <w:pPr>
        <w:widowControl/>
        <w:spacing w:line="450" w:lineRule="atLeast"/>
        <w:jc w:val="left"/>
        <w:rPr>
          <w:rFonts w:ascii="微软雅黑" w:eastAsia="微软雅黑" w:hAnsi="微软雅黑" w:cs="宋体" w:hint="eastAsia"/>
          <w:kern w:val="0"/>
          <w:szCs w:val="21"/>
        </w:rPr>
      </w:pPr>
      <w:r>
        <w:rPr>
          <w:rFonts w:ascii="微软雅黑" w:eastAsia="微软雅黑" w:hAnsi="微软雅黑" w:cs="宋体"/>
          <w:noProof/>
          <w:kern w:val="0"/>
          <w:szCs w:val="21"/>
          <w:bdr w:val="none" w:sz="0" w:space="0" w:color="auto" w:frame="1"/>
        </w:rPr>
        <mc:AlternateContent>
          <mc:Choice Requires="wps">
            <w:drawing>
              <wp:inline distT="0" distB="0" distL="0" distR="0" wp14:anchorId="08CAE4C5" wp14:editId="6AB707A5">
                <wp:extent cx="5667375" cy="19050"/>
                <wp:effectExtent l="0" t="0" r="0" b="0"/>
                <wp:docPr id="2" name="矩形 2" descr="http://www.np.gov.cn/cms/html/npszf/2018-06-04/411612120.htm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667375" cy="19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矩形 2" o:spid="_x0000_s1026" alt="说明: http://www.np.gov.cn/cms/html/npszf/2018-06-04/411612120.html" style="width:446.25pt;height: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微软雅黑" w:eastAsia="微软雅黑" w:hAnsi="微软雅黑" w:cs="宋体"/>
          <w:noProof/>
          <w:kern w:val="0"/>
          <w:szCs w:val="21"/>
          <w:bdr w:val="none" w:sz="0" w:space="0" w:color="auto" w:frame="1"/>
        </w:rPr>
        <mc:AlternateContent>
          <mc:Choice Requires="wps">
            <w:drawing>
              <wp:inline distT="0" distB="0" distL="0" distR="0" wp14:anchorId="0AAD39FC" wp14:editId="32962162">
                <wp:extent cx="5667375" cy="19050"/>
                <wp:effectExtent l="0" t="0" r="0" b="0"/>
                <wp:docPr id="1" name="矩形 1" descr="http://www.np.gov.cn/cms/html/npszf/2018-06-04/411612120.htm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667375" cy="19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矩形 1" o:spid="_x0000_s1026" alt="说明: http://www.np.gov.cn/cms/html/npszf/2018-06-04/411612120.html" style="width:446.25pt;height: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" filled="f" stroked="f">
                <o:lock v:ext="edit" aspectratio="t"/>
                <w10:anchorlock/>
              </v:rect>
            </w:pict>
          </mc:Fallback>
        </mc:AlternateContent>
      </w:r>
      <w:r w:rsidRPr="00AA04E1">
        <w:rPr>
          <w:rFonts w:ascii="Times New Roman" w:eastAsia="微软雅黑" w:hAnsi="Times New Roman" w:cs="Times New Roman"/>
          <w:kern w:val="0"/>
          <w:sz w:val="28"/>
          <w:szCs w:val="28"/>
          <w:bdr w:val="none" w:sz="0" w:space="0" w:color="auto" w:frame="1"/>
        </w:rPr>
        <w:t xml:space="preserve">　</w:t>
      </w:r>
      <w:r w:rsidRPr="00AA04E1">
        <w:rPr>
          <w:rFonts w:ascii="仿宋_GB2312" w:eastAsia="仿宋_GB2312" w:hAnsi="Times New Roman" w:cs="Times New Roman"/>
          <w:kern w:val="0"/>
          <w:sz w:val="28"/>
          <w:szCs w:val="28"/>
          <w:bdr w:val="none" w:sz="0" w:space="0" w:color="auto" w:frame="1"/>
        </w:rPr>
        <w:t>南平市人民政府办公室</w:t>
      </w:r>
      <w:r w:rsidRPr="00AA04E1">
        <w:rPr>
          <w:rFonts w:ascii="Times New Roman" w:eastAsia="微软雅黑" w:hAnsi="Times New Roman" w:cs="Times New Roman"/>
          <w:kern w:val="0"/>
          <w:sz w:val="28"/>
          <w:szCs w:val="28"/>
          <w:bdr w:val="none" w:sz="0" w:space="0" w:color="auto" w:frame="1"/>
        </w:rPr>
        <w:t xml:space="preserve"> </w:t>
      </w:r>
      <w:r w:rsidRPr="00AA04E1">
        <w:rPr>
          <w:rFonts w:ascii="Times New Roman" w:eastAsia="微软雅黑" w:hAnsi="Times New Roman" w:cs="Times New Roman"/>
          <w:kern w:val="0"/>
          <w:sz w:val="28"/>
          <w:szCs w:val="28"/>
          <w:bdr w:val="none" w:sz="0" w:space="0" w:color="auto" w:frame="1"/>
        </w:rPr>
        <w:t xml:space="preserve">　　　　　　　　　　</w:t>
      </w:r>
      <w:r w:rsidRPr="00AA04E1">
        <w:rPr>
          <w:rFonts w:ascii="Times New Roman" w:eastAsia="微软雅黑" w:hAnsi="Times New Roman" w:cs="Times New Roman"/>
          <w:kern w:val="0"/>
          <w:sz w:val="28"/>
          <w:szCs w:val="28"/>
          <w:bdr w:val="none" w:sz="0" w:space="0" w:color="auto" w:frame="1"/>
        </w:rPr>
        <w:t>201</w:t>
      </w:r>
      <w:r w:rsidRPr="00AA04E1">
        <w:rPr>
          <w:rFonts w:ascii="仿宋_GB2312" w:eastAsia="仿宋_GB2312" w:hAnsi="微软雅黑" w:cs="宋体" w:hint="eastAsia"/>
          <w:kern w:val="0"/>
          <w:sz w:val="28"/>
          <w:szCs w:val="28"/>
          <w:bdr w:val="none" w:sz="0" w:space="0" w:color="auto" w:frame="1"/>
        </w:rPr>
        <w:t>8</w:t>
      </w:r>
      <w:r w:rsidRPr="00AA04E1">
        <w:rPr>
          <w:rFonts w:ascii="仿宋_GB2312" w:eastAsia="仿宋_GB2312" w:hAnsi="Times New Roman" w:cs="Times New Roman"/>
          <w:kern w:val="0"/>
          <w:sz w:val="28"/>
          <w:szCs w:val="28"/>
          <w:bdr w:val="none" w:sz="0" w:space="0" w:color="auto" w:frame="1"/>
        </w:rPr>
        <w:t>年</w:t>
      </w:r>
      <w:r w:rsidRPr="00AA04E1">
        <w:rPr>
          <w:rFonts w:ascii="仿宋_GB2312" w:eastAsia="仿宋_GB2312" w:hAnsi="微软雅黑" w:cs="宋体" w:hint="eastAsia"/>
          <w:kern w:val="0"/>
          <w:sz w:val="28"/>
          <w:szCs w:val="28"/>
          <w:bdr w:val="none" w:sz="0" w:space="0" w:color="auto" w:frame="1"/>
        </w:rPr>
        <w:t>5</w:t>
      </w:r>
      <w:r w:rsidRPr="00AA04E1">
        <w:rPr>
          <w:rFonts w:ascii="仿宋_GB2312" w:eastAsia="仿宋_GB2312" w:hAnsi="Times New Roman" w:cs="Times New Roman"/>
          <w:kern w:val="0"/>
          <w:sz w:val="28"/>
          <w:szCs w:val="28"/>
          <w:bdr w:val="none" w:sz="0" w:space="0" w:color="auto" w:frame="1"/>
        </w:rPr>
        <w:t>月</w:t>
      </w:r>
      <w:r w:rsidRPr="00AA04E1">
        <w:rPr>
          <w:rFonts w:ascii="仿宋_GB2312" w:eastAsia="仿宋_GB2312" w:hAnsi="微软雅黑" w:cs="宋体" w:hint="eastAsia"/>
          <w:kern w:val="0"/>
          <w:sz w:val="28"/>
          <w:szCs w:val="28"/>
          <w:bdr w:val="none" w:sz="0" w:space="0" w:color="auto" w:frame="1"/>
        </w:rPr>
        <w:t>30</w:t>
      </w:r>
      <w:r w:rsidRPr="00AA04E1">
        <w:rPr>
          <w:rFonts w:ascii="仿宋_GB2312" w:eastAsia="仿宋_GB2312" w:hAnsi="Times New Roman" w:cs="Times New Roman"/>
          <w:kern w:val="0"/>
          <w:sz w:val="28"/>
          <w:szCs w:val="28"/>
          <w:bdr w:val="none" w:sz="0" w:space="0" w:color="auto" w:frame="1"/>
        </w:rPr>
        <w:t>日印发</w:t>
      </w:r>
    </w:p>
    <w:p w:rsidR="008D295E" w:rsidRDefault="008D295E"/>
    <w:sectPr w:rsidR="008D295E" w:rsidSect="00AA04E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96A"/>
    <w:rsid w:val="003F296A"/>
    <w:rsid w:val="008D295E"/>
    <w:rsid w:val="00AA0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A04E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A04E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609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75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117815">
              <w:marLeft w:val="4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ashed" w:sz="6" w:space="15" w:color="CFCFCF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713</Words>
  <Characters>4066</Characters>
  <Application>Microsoft Office Word</Application>
  <DocSecurity>0</DocSecurity>
  <Lines>33</Lines>
  <Paragraphs>9</Paragraphs>
  <ScaleCrop>false</ScaleCrop>
  <Company/>
  <LinksUpToDate>false</LinksUpToDate>
  <CharactersWithSpaces>4770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2018-07-05T03:49:00Z</dcterms:created>
  <dcterms:modified xsi:type="dcterms:W3CDTF">2018-07-05T03:50:00Z</dcterms:modified>
</cp:coreProperties>
</file>