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tbl>
      <w:tblPr>
        <w:tblStyle w:val="5"/>
        <w:tblpPr w:leftFromText="180" w:rightFromText="180" w:vertAnchor="text" w:horzAnchor="page" w:tblpX="1451" w:tblpY="907"/>
        <w:tblOverlap w:val="never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2555"/>
        <w:gridCol w:w="5875"/>
        <w:gridCol w:w="1665"/>
        <w:gridCol w:w="1560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工作任务</w:t>
            </w:r>
          </w:p>
        </w:tc>
        <w:tc>
          <w:tcPr>
            <w:tcW w:w="587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排查内容</w:t>
            </w:r>
          </w:p>
        </w:tc>
        <w:tc>
          <w:tcPr>
            <w:tcW w:w="166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牵头股室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参与单位</w:t>
            </w:r>
          </w:p>
        </w:tc>
        <w:tc>
          <w:tcPr>
            <w:tcW w:w="153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</w:trPr>
        <w:tc>
          <w:tcPr>
            <w:tcW w:w="9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20" w:firstLineChars="100"/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开展正风肃纪整改“回头看”</w:t>
            </w:r>
          </w:p>
        </w:tc>
        <w:tc>
          <w:tcPr>
            <w:tcW w:w="5875" w:type="dxa"/>
          </w:tcPr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排查各入驻部门窗口工作人员是否存在上下班不准时、工作中玩手机、上网聊天、早退脱岗、请销假手续不规范、顶撞管理人员，、不落实政务服务中心各项管理制度等“庸懒散浮拖”方面的问题。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排查是否存在对群众咨询申请不答理、不解释、不回复，审核申办资料不仔细、不专业、让群众补充资料不一次性告知、告知不详实，态度不好，导致群众多次反复跑路等“门难进、脸难看、事难办”方面的问题。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排查是否存在该办的不办、快办的缓办、不该办的违规办、利用审批权力，表面上走程序，背后搞勾兑，进行利益输送等“不作为、慢作为、乱作为”和“吃拿卡要”等方面的问题。</w:t>
            </w:r>
          </w:p>
        </w:tc>
        <w:tc>
          <w:tcPr>
            <w:tcW w:w="166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督查股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县政务服务中心各入驻部门窗口、各乡镇（社区）便民服务中心</w:t>
            </w:r>
          </w:p>
        </w:tc>
        <w:tc>
          <w:tcPr>
            <w:tcW w:w="153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9月30日前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开展“两集中两到位”整改回头看</w:t>
            </w:r>
          </w:p>
        </w:tc>
        <w:tc>
          <w:tcPr>
            <w:tcW w:w="5875" w:type="dxa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全面查找在审批职能假归并、审批事项假入驻、审批权限假授权、办理事项假到位、体外循环、变相审批等问题。</w:t>
            </w:r>
          </w:p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重点清查投资建设项目审批是否按照并联审批工作规范要求，实行“一窗进出”，无法律依据的审批前置条件是否清理取消到位、审核审查服务环节是否入驻窗口到位、“五联合”制度是否落实到位。</w:t>
            </w:r>
          </w:p>
        </w:tc>
        <w:tc>
          <w:tcPr>
            <w:tcW w:w="166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督查股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县政务服务中心各入驻部门窗口、各乡镇（社区）便民服务中心</w:t>
            </w:r>
          </w:p>
        </w:tc>
        <w:tc>
          <w:tcPr>
            <w:tcW w:w="153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9月30日前</w:t>
            </w:r>
          </w:p>
        </w:tc>
      </w:tr>
    </w:tbl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开江县政务服务系统解决群众“办事难”整改工作“回头看”责任任务分解表</w:t>
      </w:r>
    </w:p>
    <w:bookmarkEnd w:id="0"/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page"/>
      </w:r>
    </w:p>
    <w:p>
      <w:pPr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开江县政务服务系统解决群众“办事难”整改工作“回头看”责任任务分解表</w:t>
      </w:r>
    </w:p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6090"/>
        <w:gridCol w:w="1425"/>
        <w:gridCol w:w="1875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工作任务</w:t>
            </w:r>
          </w:p>
        </w:tc>
        <w:tc>
          <w:tcPr>
            <w:tcW w:w="60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排查内容</w:t>
            </w:r>
          </w:p>
        </w:tc>
        <w:tc>
          <w:tcPr>
            <w:tcW w:w="142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牵头科室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参与单位</w:t>
            </w:r>
          </w:p>
        </w:tc>
        <w:tc>
          <w:tcPr>
            <w:tcW w:w="17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开展提升审批服务效率整改“回头看”</w:t>
            </w:r>
          </w:p>
        </w:tc>
        <w:tc>
          <w:tcPr>
            <w:tcW w:w="60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重点查找审批流程不规范、办理程序复杂、制定中介服务和搭车收费等行为，是否存在行政审批信息不公开、不落实服务承诺制、限时办结制、责任追究制，是否存在让办事群众提供“奇葩证明”等问题。</w:t>
            </w:r>
          </w:p>
        </w:tc>
        <w:tc>
          <w:tcPr>
            <w:tcW w:w="142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督查股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入驻中心各部门、各乡镇（社区）便民服务中心</w:t>
            </w:r>
          </w:p>
        </w:tc>
        <w:tc>
          <w:tcPr>
            <w:tcW w:w="17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9月30日前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开展提升审批服务效率整改“回头看”</w:t>
            </w:r>
          </w:p>
        </w:tc>
        <w:tc>
          <w:tcPr>
            <w:tcW w:w="60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着重清查市场监督管理局、人社局、国税局、地税局、不动产登记中心、房产管理、公安局出入境管理、社保局、医保局、住房公积金管理中心等入驻部门，在办理与老百姓密切相关的事项中，是否存在申请资料过多、办事流程过繁，办事时限过长的问题。</w:t>
            </w:r>
          </w:p>
        </w:tc>
        <w:tc>
          <w:tcPr>
            <w:tcW w:w="142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督查股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市场监督管理局、人社局、国税局、地税局、不动产登记中心、房产管理、公安局出入境管理、社保局、医保局、住房公积金管理中心窗口</w:t>
            </w:r>
          </w:p>
        </w:tc>
        <w:tc>
          <w:tcPr>
            <w:tcW w:w="17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9月30日前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开展“优化办事环境”整改“回头看”</w:t>
            </w:r>
          </w:p>
        </w:tc>
        <w:tc>
          <w:tcPr>
            <w:tcW w:w="60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重点查找办事窗口设置是否科学、便民服务设施是否齐全完备、标识标牌是否清楚醒目、咨询引导服务是否到位、办事秩序是否规范，有无不领号插队办事或领号不顺序办事的现象，有无窗口工作人员与中介机构相互勾兑，联合办事等方面的问题。</w:t>
            </w:r>
          </w:p>
        </w:tc>
        <w:tc>
          <w:tcPr>
            <w:tcW w:w="142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督查股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各入驻部门窗口、各乡镇（社区）便民服务中心</w:t>
            </w:r>
          </w:p>
        </w:tc>
        <w:tc>
          <w:tcPr>
            <w:tcW w:w="17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9月30日前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开展“投诉受理办理”</w:t>
            </w:r>
          </w:p>
        </w:tc>
        <w:tc>
          <w:tcPr>
            <w:tcW w:w="60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主要查找“96960”行政效能电话投诉、行政效能网上投诉、行政效能意见投递箱、行政效能电子评价仪等立体投诉渠道是否畅通，对群众投诉事项有无该受理的不受理、受理不处理、处理不回访，有无敷衍搪塞、推诿不理、拖压不办等方面的问题。</w:t>
            </w:r>
          </w:p>
        </w:tc>
        <w:tc>
          <w:tcPr>
            <w:tcW w:w="142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督查股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各入驻部门窗口、各乡镇（社区）便民服务中心</w:t>
            </w:r>
          </w:p>
        </w:tc>
        <w:tc>
          <w:tcPr>
            <w:tcW w:w="17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9月30日前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herlocode">
    <w:altName w:val="Segoe Print"/>
    <w:panose1 w:val="00000000000000000000"/>
    <w:charset w:val="00"/>
    <w:family w:val="auto"/>
    <w:pitch w:val="default"/>
    <w:sig w:usb0="00000000" w:usb1="00000000" w:usb2="00000000" w:usb3="00000000" w:csb0="20000111" w:csb1="40000000"/>
  </w:font>
  <w:font w:name="AR Hebe Sans DemiBold">
    <w:altName w:val="Times New Roman"/>
    <w:panose1 w:val="020B07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nospace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inmsu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u7b49u7eb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仿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songt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??????">
    <w:altName w:val="MS Gothic"/>
    <w:panose1 w:val="02010609000101010101"/>
    <w:charset w:val="00"/>
    <w:family w:val="auto"/>
    <w:pitch w:val="default"/>
    <w:sig w:usb0="00000000" w:usb1="00000000" w:usb2="00000000" w:usb3="00000000" w:csb0="000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1"/>
    <w:family w:val="swiss"/>
    <w:pitch w:val="default"/>
    <w:sig w:usb0="00000000" w:usb1="00000000" w:usb2="00000000" w:usb3="00000000" w:csb0="00040001" w:csb1="00000000"/>
  </w:font>
  <w:font w:name="Palatino Linotype">
    <w:panose1 w:val="02040502050505030304"/>
    <w:charset w:val="00"/>
    <w:family w:val="swiss"/>
    <w:pitch w:val="default"/>
    <w:sig w:usb0="E0000287" w:usb1="40000013" w:usb2="00000000" w:usb3="00000000" w:csb0="2000019F" w:csb1="00000000"/>
  </w:font>
  <w:font w:name="方正魏碑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Lucida Sans Unicode">
    <w:panose1 w:val="020B0602030504020204"/>
    <w:charset w:val="00"/>
    <w:family w:val="decorative"/>
    <w:pitch w:val="default"/>
    <w:sig w:usb0="80001AFF" w:usb1="0000396B" w:usb2="00000000" w:usb3="00000000" w:csb0="200000BF" w:csb1="D7F70000"/>
  </w:font>
  <w:font w:name="方正北魏楷书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方正新报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琥珀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稚艺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宋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圆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胖娃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超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菱心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雁翎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黛玉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鼎简行书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汉鼎繁行书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经典空趣体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繁叠黑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繁圆新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繁广告">
    <w:altName w:val="宋体"/>
    <w:panose1 w:val="02010609010101010101"/>
    <w:charset w:val="86"/>
    <w:family w:val="auto"/>
    <w:pitch w:val="default"/>
    <w:sig w:usb0="00000000" w:usb1="00000000" w:usb2="0000001E" w:usb3="00000000" w:csb0="20040000" w:csb1="00000000"/>
  </w:font>
  <w:font w:name="经典繁方篆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金梅毛行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vantGarde Bk BT">
    <w:altName w:val="Segoe Print"/>
    <w:panose1 w:val="020B0402020202020204"/>
    <w:charset w:val="00"/>
    <w:family w:val="auto"/>
    <w:pitch w:val="default"/>
    <w:sig w:usb0="00000000" w:usb1="00000000" w:usb2="00000000" w:usb3="00000000" w:csb0="00000000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德彪钢笔行书字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文鼎中特广告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习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方正毡笔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楷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北魏楷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篆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微软雅黑 黑体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水柱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文星标宋">
    <w:altName w:val="宋体"/>
    <w:panose1 w:val="02010604000101010101"/>
    <w:charset w:val="86"/>
    <w:family w:val="auto"/>
    <w:pitch w:val="default"/>
    <w:sig w:usb0="00000000" w:usb1="00000000" w:usb2="00000010" w:usb3="00000000" w:csb0="00040000" w:csb1="00000000"/>
  </w:font>
  <w:font w:name="中國龍豪行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书体坊安景臣钢笔行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毛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疾风草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签名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钢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魏碑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黄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丫丫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凌波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中黑简">
    <w:altName w:val="黑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等线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文鼎石头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雕刻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方正少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彩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彩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报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报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秀丽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文鼎圆立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妞妞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潇洒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胡子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谁的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霹雳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香肠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齿轮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方正准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剪纸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宏业立方符号">
    <w:altName w:val="宋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隶二简体">
    <w:altName w:val="隶书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二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变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变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静蕾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粗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宋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卡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瘦金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黑一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黑一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珊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珊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美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行楷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铁筋隶书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繁体">
    <w:altName w:val="仿宋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汉鼎繁粗隶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方正隶书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全新硬笔行书简">
    <w:altName w:val="宋体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隶书简体">
    <w:altName w:val="隶书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Arial Narrow">
    <w:panose1 w:val="020B0606020202030204"/>
    <w:charset w:val="01"/>
    <w:family w:val="decorative"/>
    <w:pitch w:val="default"/>
    <w:sig w:usb0="00000287" w:usb1="00000800" w:usb2="00000000" w:usb3="00000000" w:csb0="2000009F" w:csb1="DFD70000"/>
  </w:font>
  <w:font w:name="Constantia">
    <w:panose1 w:val="02030602050306030303"/>
    <w:charset w:val="01"/>
    <w:family w:val="auto"/>
    <w:pitch w:val="default"/>
    <w:sig w:usb0="A00002EF" w:usb1="4000204B" w:usb2="00000000" w:usb3="00000000" w:csb0="2000019F" w:csb1="00000000"/>
  </w:font>
  <w:font w:name="文星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&amp;quot;">
    <w:altName w:val="Consola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瀹嬩綋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FreeSans">
    <w:altName w:val="Arial Unicode MS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DejaVu Sans">
    <w:altName w:val="Arial Unicode MS"/>
    <w:panose1 w:val="00000000000000000000"/>
    <w:charset w:val="80"/>
    <w:family w:val="swiss"/>
    <w:pitch w:val="default"/>
    <w:sig w:usb0="00000000" w:usb1="00000000" w:usb2="00000000" w:usb3="00000000" w:csb0="00040001" w:csb1="00000000"/>
  </w:font>
  <w:font w:name="文泉驿微米黑">
    <w:altName w:val="黑体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行楷繁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86"/>
    <w:family w:val="swiss"/>
    <w:pitch w:val="default"/>
    <w:sig w:usb0="A10006FF" w:usb1="4000205B" w:usb2="00000010" w:usb3="00000000" w:csb0="2000019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W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FZXBSJW  GB1 0">
    <w:altName w:val="Latha"/>
    <w:panose1 w:val="00000000000000000000"/>
    <w:charset w:val="01"/>
    <w:family w:val="auto"/>
    <w:pitch w:val="default"/>
    <w:sig w:usb0="00000000" w:usb1="00000000" w:usb2="2028C0BC" w:usb3="2578C200" w:csb0="247A1008" w:csb1="0012D200"/>
  </w:font>
  <w:font w:name="FZFSJW  GB1 0">
    <w:altName w:val="Latha"/>
    <w:panose1 w:val="00000000000000000000"/>
    <w:charset w:val="01"/>
    <w:family w:val="auto"/>
    <w:pitch w:val="default"/>
    <w:sig w:usb0="00000000" w:usb1="00000000" w:usb2="2028C0BC" w:usb3="2578C200" w:csb0="247A1008" w:csb1="0012D200"/>
  </w:font>
  <w:font w:name="Times New RomanPSMT">
    <w:altName w:val="Times New Roman"/>
    <w:panose1 w:val="00000000000000000000"/>
    <w:charset w:val="01"/>
    <w:family w:val="auto"/>
    <w:pitch w:val="default"/>
    <w:sig w:usb0="00000000" w:usb1="00000000" w:usb2="2028C0BC" w:usb3="2578C200" w:csb0="247A1008" w:csb1="0012D200"/>
  </w:font>
  <w:font w:name="Latha">
    <w:panose1 w:val="020B0604020202020204"/>
    <w:charset w:val="01"/>
    <w:family w:val="auto"/>
    <w:pitch w:val="default"/>
    <w:sig w:usb0="00100003" w:usb1="00000000" w:usb2="00000000" w:usb3="00000000" w:csb0="000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00000000" w:usb1="00000000" w:usb2="00000000" w:usb3="00000000" w:csb0="00000000" w:csb1="0000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6F04DD"/>
    <w:multiLevelType w:val="singleLevel"/>
    <w:tmpl w:val="596F04DD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96F16E5"/>
    <w:multiLevelType w:val="singleLevel"/>
    <w:tmpl w:val="596F16E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9702A8"/>
    <w:rsid w:val="1A9702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2017-07-31T05:18:00Z</dcterms:created>
  <dc:creator>kjzwzx</dc:creator>
  <cp:lastModifiedBy>kjzwzx</cp:lastModifiedBy>
  <dcterms:modified xsi:type="dcterms:W3CDTF">2017-07-31T05:18:40Z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