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0" w:after="0" w:afterAutospacing="0" w:line="680" w:lineRule="exact"/>
        <w:ind w:left="0" w:right="0"/>
        <w:jc w:val="center"/>
        <w:rPr>
          <w:rFonts w:hint="eastAsia" w:ascii="宋体" w:hAnsi="宋体" w:eastAsia="宋体" w:cs="宋体"/>
          <w:color w:val="000000"/>
          <w:u w:val="none"/>
        </w:rPr>
      </w:pPr>
      <w:r>
        <w:rPr>
          <w:rFonts w:ascii="方正小标宋简体" w:hAnsi="宋体" w:eastAsia="方正小标宋简体" w:cs="方正小标宋简体"/>
          <w:color w:val="000000"/>
          <w:spacing w:val="-8"/>
          <w:kern w:val="0"/>
          <w:sz w:val="44"/>
          <w:szCs w:val="44"/>
          <w:u w:val="none"/>
          <w:lang w:val="en-US" w:eastAsia="zh-CN" w:bidi="ar"/>
        </w:rPr>
        <w:t>金昌市推进“证照分离”改革试点具体事项目录</w:t>
      </w:r>
    </w:p>
    <w:p>
      <w:pPr>
        <w:keepNext w:val="0"/>
        <w:keepLines w:val="0"/>
        <w:widowControl/>
        <w:suppressLineNumbers w:val="0"/>
        <w:spacing w:before="0" w:beforeAutospacing="0" w:after="0" w:afterAutospacing="0" w:line="240" w:lineRule="exact"/>
        <w:ind w:left="0" w:right="0"/>
        <w:jc w:val="center"/>
        <w:rPr>
          <w:rFonts w:hint="eastAsia" w:ascii="宋体" w:hAnsi="宋体" w:eastAsia="宋体" w:cs="宋体"/>
          <w:color w:val="000000"/>
          <w:u w:val="none"/>
        </w:rPr>
      </w:pPr>
      <w:r>
        <w:rPr>
          <w:rFonts w:hint="default" w:ascii="方正小标宋简体" w:hAnsi="宋体" w:eastAsia="方正小标宋简体" w:cs="方正小标宋简体"/>
          <w:color w:val="000000"/>
          <w:spacing w:val="-8"/>
          <w:kern w:val="0"/>
          <w:sz w:val="44"/>
          <w:szCs w:val="44"/>
          <w:u w:val="none"/>
          <w:lang w:val="en-US" w:eastAsia="zh-CN" w:bidi="ar"/>
        </w:rPr>
        <w:t> </w:t>
      </w:r>
    </w:p>
    <w:tbl>
      <w:tblPr>
        <w:tblW w:w="8981" w:type="dxa"/>
        <w:jc w:val="center"/>
        <w:tblInd w:w="0" w:type="dxa"/>
        <w:shd w:val="clear"/>
        <w:tblLayout w:type="fixed"/>
        <w:tblCellMar>
          <w:top w:w="0" w:type="dxa"/>
          <w:left w:w="0" w:type="dxa"/>
          <w:bottom w:w="0" w:type="dxa"/>
          <w:right w:w="0" w:type="dxa"/>
        </w:tblCellMar>
      </w:tblPr>
      <w:tblGrid>
        <w:gridCol w:w="392"/>
        <w:gridCol w:w="2079"/>
        <w:gridCol w:w="1946"/>
        <w:gridCol w:w="574"/>
        <w:gridCol w:w="544"/>
        <w:gridCol w:w="567"/>
        <w:gridCol w:w="709"/>
        <w:gridCol w:w="567"/>
        <w:gridCol w:w="1603"/>
      </w:tblGrid>
      <w:tr>
        <w:tblPrEx>
          <w:tblLayout w:type="fixed"/>
          <w:tblCellMar>
            <w:top w:w="0" w:type="dxa"/>
            <w:left w:w="0" w:type="dxa"/>
            <w:bottom w:w="0" w:type="dxa"/>
            <w:right w:w="0" w:type="dxa"/>
          </w:tblCellMar>
        </w:tblPrEx>
        <w:trPr>
          <w:trHeight w:val="454" w:hRule="exact"/>
          <w:jc w:val="center"/>
        </w:trPr>
        <w:tc>
          <w:tcPr>
            <w:tcW w:w="392" w:type="dxa"/>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ascii="黑体" w:hAnsi="宋体" w:eastAsia="黑体" w:cs="黑体"/>
                <w:color w:val="000000"/>
                <w:kern w:val="0"/>
                <w:sz w:val="24"/>
                <w:szCs w:val="24"/>
                <w:u w:val="none"/>
                <w:bdr w:val="none" w:color="auto" w:sz="0" w:space="0"/>
                <w:lang w:val="en-US" w:eastAsia="zh-CN" w:bidi="ar"/>
              </w:rPr>
              <w:t>序号</w:t>
            </w:r>
          </w:p>
        </w:tc>
        <w:tc>
          <w:tcPr>
            <w:tcW w:w="2079" w:type="dxa"/>
            <w:vMerge w:val="restart"/>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eastAsia" w:ascii="黑体" w:hAnsi="宋体" w:eastAsia="黑体" w:cs="黑体"/>
                <w:color w:val="000000"/>
                <w:kern w:val="0"/>
                <w:sz w:val="24"/>
                <w:szCs w:val="24"/>
                <w:u w:val="none"/>
                <w:bdr w:val="none" w:color="auto" w:sz="0" w:space="0"/>
                <w:lang w:val="en-US" w:eastAsia="zh-CN" w:bidi="ar"/>
              </w:rPr>
              <w:t>事项名称</w:t>
            </w:r>
          </w:p>
        </w:tc>
        <w:tc>
          <w:tcPr>
            <w:tcW w:w="1946" w:type="dxa"/>
            <w:vMerge w:val="restart"/>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eastAsia" w:ascii="黑体" w:hAnsi="宋体" w:eastAsia="黑体" w:cs="黑体"/>
                <w:color w:val="000000"/>
                <w:kern w:val="0"/>
                <w:sz w:val="24"/>
                <w:szCs w:val="24"/>
                <w:u w:val="none"/>
                <w:bdr w:val="none" w:color="auto" w:sz="0" w:space="0"/>
                <w:lang w:val="en-US" w:eastAsia="zh-CN" w:bidi="ar"/>
              </w:rPr>
              <w:t>实施机关</w:t>
            </w:r>
          </w:p>
        </w:tc>
        <w:tc>
          <w:tcPr>
            <w:tcW w:w="2961" w:type="dxa"/>
            <w:gridSpan w:val="5"/>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eastAsia" w:ascii="黑体" w:hAnsi="宋体" w:eastAsia="黑体" w:cs="黑体"/>
                <w:color w:val="000000"/>
                <w:kern w:val="0"/>
                <w:sz w:val="24"/>
                <w:szCs w:val="24"/>
                <w:u w:val="none"/>
                <w:bdr w:val="none" w:color="auto" w:sz="0" w:space="0"/>
                <w:lang w:val="en-US" w:eastAsia="zh-CN" w:bidi="ar"/>
              </w:rPr>
              <w:t>改革方式</w:t>
            </w:r>
          </w:p>
        </w:tc>
        <w:tc>
          <w:tcPr>
            <w:tcW w:w="1603" w:type="dxa"/>
            <w:vMerge w:val="restart"/>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80" w:lineRule="auto"/>
              <w:ind w:left="0" w:right="0"/>
              <w:jc w:val="center"/>
              <w:rPr>
                <w:rFonts w:hint="eastAsia" w:ascii="宋体" w:hAnsi="宋体" w:eastAsia="宋体" w:cs="宋体"/>
                <w:color w:val="000000"/>
                <w:u w:val="none"/>
              </w:rPr>
            </w:pPr>
            <w:r>
              <w:rPr>
                <w:rFonts w:hint="eastAsia" w:ascii="黑体" w:hAnsi="宋体" w:eastAsia="黑体" w:cs="黑体"/>
                <w:color w:val="000000"/>
                <w:kern w:val="0"/>
                <w:sz w:val="24"/>
                <w:szCs w:val="24"/>
                <w:u w:val="none"/>
                <w:bdr w:val="none" w:color="auto" w:sz="0" w:space="0"/>
                <w:lang w:val="en-US" w:eastAsia="zh-CN" w:bidi="ar"/>
              </w:rPr>
              <w:t>备注</w:t>
            </w:r>
          </w:p>
        </w:tc>
      </w:tr>
      <w:tr>
        <w:tblPrEx>
          <w:shd w:val="clear"/>
          <w:tblLayout w:type="fixed"/>
          <w:tblCellMar>
            <w:top w:w="0" w:type="dxa"/>
            <w:left w:w="0" w:type="dxa"/>
            <w:bottom w:w="0" w:type="dxa"/>
            <w:right w:w="0" w:type="dxa"/>
          </w:tblCellMar>
        </w:tblPrEx>
        <w:trPr>
          <w:trHeight w:val="454" w:hRule="exact"/>
          <w:jc w:val="center"/>
        </w:trPr>
        <w:tc>
          <w:tcPr>
            <w:tcW w:w="39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宋体" w:hAnsi="宋体" w:eastAsia="宋体" w:cs="宋体"/>
                <w:color w:val="3D3D3D"/>
                <w:sz w:val="18"/>
                <w:szCs w:val="18"/>
                <w:u w:val="none"/>
              </w:rPr>
            </w:pPr>
          </w:p>
        </w:tc>
        <w:tc>
          <w:tcPr>
            <w:tcW w:w="2079" w:type="dxa"/>
            <w:vMerge w:val="continue"/>
            <w:tcBorders>
              <w:top w:val="outset" w:color="auto" w:sz="6" w:space="0"/>
              <w:left w:val="single" w:color="auto" w:sz="2" w:space="0"/>
              <w:bottom w:val="outset" w:color="auto" w:sz="6" w:space="0"/>
              <w:right w:val="outset" w:color="auto" w:sz="6" w:space="0"/>
            </w:tcBorders>
            <w:shd w:val="clear"/>
            <w:vAlign w:val="center"/>
          </w:tcPr>
          <w:p>
            <w:pPr>
              <w:jc w:val="left"/>
              <w:rPr>
                <w:rFonts w:hint="eastAsia" w:ascii="宋体" w:hAnsi="宋体" w:eastAsia="宋体" w:cs="宋体"/>
                <w:color w:val="3D3D3D"/>
                <w:sz w:val="18"/>
                <w:szCs w:val="18"/>
                <w:u w:val="none"/>
              </w:rPr>
            </w:pPr>
          </w:p>
        </w:tc>
        <w:tc>
          <w:tcPr>
            <w:tcW w:w="1946" w:type="dxa"/>
            <w:vMerge w:val="continue"/>
            <w:tcBorders>
              <w:top w:val="outset" w:color="auto" w:sz="6" w:space="0"/>
              <w:left w:val="single" w:color="auto" w:sz="2" w:space="0"/>
              <w:bottom w:val="outset" w:color="auto" w:sz="6" w:space="0"/>
              <w:right w:val="outset" w:color="auto" w:sz="6" w:space="0"/>
            </w:tcBorders>
            <w:shd w:val="clear"/>
            <w:vAlign w:val="center"/>
          </w:tcPr>
          <w:p>
            <w:pPr>
              <w:jc w:val="left"/>
              <w:rPr>
                <w:rFonts w:hint="eastAsia" w:ascii="宋体" w:hAnsi="宋体" w:eastAsia="宋体" w:cs="宋体"/>
                <w:color w:val="3D3D3D"/>
                <w:sz w:val="18"/>
                <w:szCs w:val="18"/>
                <w:u w:val="none"/>
              </w:rPr>
            </w:pPr>
          </w:p>
        </w:tc>
        <w:tc>
          <w:tcPr>
            <w:tcW w:w="1118" w:type="dxa"/>
            <w:gridSpan w:val="2"/>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eastAsia" w:ascii="黑体" w:hAnsi="宋体" w:eastAsia="黑体" w:cs="黑体"/>
                <w:color w:val="000000"/>
                <w:kern w:val="0"/>
                <w:sz w:val="24"/>
                <w:szCs w:val="24"/>
                <w:u w:val="none"/>
                <w:bdr w:val="none" w:color="auto" w:sz="0" w:space="0"/>
                <w:lang w:val="en-US" w:eastAsia="zh-CN" w:bidi="ar"/>
              </w:rPr>
              <w:t>取消审批</w:t>
            </w:r>
          </w:p>
        </w:tc>
        <w:tc>
          <w:tcPr>
            <w:tcW w:w="1843" w:type="dxa"/>
            <w:gridSpan w:val="3"/>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eastAsia" w:ascii="黑体" w:hAnsi="宋体" w:eastAsia="黑体" w:cs="黑体"/>
                <w:color w:val="000000"/>
                <w:kern w:val="0"/>
                <w:sz w:val="24"/>
                <w:szCs w:val="24"/>
                <w:u w:val="none"/>
                <w:bdr w:val="none" w:color="auto" w:sz="0" w:space="0"/>
                <w:lang w:val="en-US" w:eastAsia="zh-CN" w:bidi="ar"/>
              </w:rPr>
              <w:t>保留审批</w:t>
            </w:r>
          </w:p>
        </w:tc>
        <w:tc>
          <w:tcPr>
            <w:tcW w:w="1603" w:type="dxa"/>
            <w:vMerge w:val="continue"/>
            <w:tcBorders>
              <w:top w:val="outset" w:color="auto" w:sz="6" w:space="0"/>
              <w:left w:val="single" w:color="auto" w:sz="2" w:space="0"/>
              <w:bottom w:val="outset" w:color="auto" w:sz="6" w:space="0"/>
              <w:right w:val="outset" w:color="auto" w:sz="6" w:space="0"/>
            </w:tcBorders>
            <w:shd w:val="clear"/>
            <w:vAlign w:val="center"/>
          </w:tcPr>
          <w:p>
            <w:pPr>
              <w:jc w:val="left"/>
              <w:rPr>
                <w:rFonts w:hint="eastAsia" w:ascii="宋体" w:hAnsi="宋体" w:eastAsia="宋体" w:cs="宋体"/>
                <w:color w:val="3D3D3D"/>
                <w:sz w:val="18"/>
                <w:szCs w:val="18"/>
                <w:u w:val="none"/>
              </w:rPr>
            </w:pPr>
          </w:p>
        </w:tc>
      </w:tr>
      <w:tr>
        <w:tblPrEx>
          <w:tblLayout w:type="fixed"/>
          <w:tblCellMar>
            <w:top w:w="0" w:type="dxa"/>
            <w:left w:w="0" w:type="dxa"/>
            <w:bottom w:w="0" w:type="dxa"/>
            <w:right w:w="0" w:type="dxa"/>
          </w:tblCellMar>
        </w:tblPrEx>
        <w:trPr>
          <w:jc w:val="center"/>
        </w:trPr>
        <w:tc>
          <w:tcPr>
            <w:tcW w:w="392" w:type="dxa"/>
            <w:vMerge w:val="continue"/>
            <w:tcBorders>
              <w:top w:val="outset" w:color="auto" w:sz="6" w:space="0"/>
              <w:left w:val="outset" w:color="auto" w:sz="6" w:space="0"/>
              <w:bottom w:val="outset" w:color="auto" w:sz="6" w:space="0"/>
              <w:right w:val="outset" w:color="auto" w:sz="6" w:space="0"/>
            </w:tcBorders>
            <w:shd w:val="clear"/>
            <w:vAlign w:val="center"/>
          </w:tcPr>
          <w:p>
            <w:pPr>
              <w:jc w:val="left"/>
              <w:rPr>
                <w:rFonts w:hint="eastAsia" w:ascii="宋体" w:hAnsi="宋体" w:eastAsia="宋体" w:cs="宋体"/>
                <w:color w:val="3D3D3D"/>
                <w:sz w:val="18"/>
                <w:szCs w:val="18"/>
                <w:u w:val="none"/>
              </w:rPr>
            </w:pPr>
          </w:p>
        </w:tc>
        <w:tc>
          <w:tcPr>
            <w:tcW w:w="2079" w:type="dxa"/>
            <w:vMerge w:val="continue"/>
            <w:tcBorders>
              <w:top w:val="outset" w:color="auto" w:sz="6" w:space="0"/>
              <w:left w:val="single" w:color="auto" w:sz="2" w:space="0"/>
              <w:bottom w:val="outset" w:color="auto" w:sz="6" w:space="0"/>
              <w:right w:val="outset" w:color="auto" w:sz="6" w:space="0"/>
            </w:tcBorders>
            <w:shd w:val="clear"/>
            <w:vAlign w:val="center"/>
          </w:tcPr>
          <w:p>
            <w:pPr>
              <w:jc w:val="left"/>
              <w:rPr>
                <w:rFonts w:hint="eastAsia" w:ascii="宋体" w:hAnsi="宋体" w:eastAsia="宋体" w:cs="宋体"/>
                <w:color w:val="3D3D3D"/>
                <w:sz w:val="18"/>
                <w:szCs w:val="18"/>
                <w:u w:val="none"/>
              </w:rPr>
            </w:pPr>
          </w:p>
        </w:tc>
        <w:tc>
          <w:tcPr>
            <w:tcW w:w="1946" w:type="dxa"/>
            <w:vMerge w:val="continue"/>
            <w:tcBorders>
              <w:top w:val="outset" w:color="auto" w:sz="6" w:space="0"/>
              <w:left w:val="single" w:color="auto" w:sz="2" w:space="0"/>
              <w:bottom w:val="outset" w:color="auto" w:sz="6" w:space="0"/>
              <w:right w:val="outset" w:color="auto" w:sz="6" w:space="0"/>
            </w:tcBorders>
            <w:shd w:val="clear"/>
            <w:vAlign w:val="center"/>
          </w:tcPr>
          <w:p>
            <w:pPr>
              <w:jc w:val="left"/>
              <w:rPr>
                <w:rFonts w:hint="eastAsia" w:ascii="宋体" w:hAnsi="宋体" w:eastAsia="宋体" w:cs="宋体"/>
                <w:color w:val="3D3D3D"/>
                <w:sz w:val="18"/>
                <w:szCs w:val="18"/>
                <w:u w:val="none"/>
              </w:rPr>
            </w:pP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eastAsia" w:ascii="黑体" w:hAnsi="宋体" w:eastAsia="黑体" w:cs="黑体"/>
                <w:color w:val="000000"/>
                <w:kern w:val="0"/>
                <w:sz w:val="24"/>
                <w:szCs w:val="24"/>
                <w:u w:val="none"/>
                <w:bdr w:val="none" w:color="auto" w:sz="0" w:space="0"/>
                <w:lang w:val="en-US" w:eastAsia="zh-CN" w:bidi="ar"/>
              </w:rPr>
              <w:t>完全取消审批</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eastAsia" w:ascii="黑体" w:hAnsi="宋体" w:eastAsia="黑体" w:cs="黑体"/>
                <w:color w:val="000000"/>
                <w:kern w:val="0"/>
                <w:sz w:val="24"/>
                <w:szCs w:val="24"/>
                <w:u w:val="none"/>
                <w:bdr w:val="none" w:color="auto" w:sz="0" w:space="0"/>
                <w:lang w:val="en-US" w:eastAsia="zh-CN" w:bidi="ar"/>
              </w:rPr>
              <w:t>审批改为备案</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eastAsia" w:ascii="黑体" w:hAnsi="宋体" w:eastAsia="黑体" w:cs="黑体"/>
                <w:color w:val="000000"/>
                <w:kern w:val="0"/>
                <w:sz w:val="24"/>
                <w:szCs w:val="24"/>
                <w:u w:val="none"/>
                <w:bdr w:val="none" w:color="auto" w:sz="0" w:space="0"/>
                <w:lang w:val="en-US" w:eastAsia="zh-CN" w:bidi="ar"/>
              </w:rPr>
              <w:t>全面实行告知承诺制</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eastAsia" w:ascii="黑体" w:hAnsi="宋体" w:eastAsia="黑体" w:cs="黑体"/>
                <w:color w:val="000000"/>
                <w:kern w:val="0"/>
                <w:sz w:val="24"/>
                <w:szCs w:val="24"/>
                <w:u w:val="none"/>
                <w:bdr w:val="none" w:color="auto" w:sz="0" w:space="0"/>
                <w:lang w:val="en-US" w:eastAsia="zh-CN" w:bidi="ar"/>
              </w:rPr>
              <w:t>提高透明度和可预期性</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eastAsia" w:ascii="黑体" w:hAnsi="宋体" w:eastAsia="黑体" w:cs="黑体"/>
                <w:color w:val="000000"/>
                <w:kern w:val="0"/>
                <w:sz w:val="24"/>
                <w:szCs w:val="24"/>
                <w:u w:val="none"/>
                <w:bdr w:val="none" w:color="auto" w:sz="0" w:space="0"/>
                <w:lang w:val="en-US" w:eastAsia="zh-CN" w:bidi="ar"/>
              </w:rPr>
              <w:t>强化准入监管</w:t>
            </w:r>
          </w:p>
        </w:tc>
        <w:tc>
          <w:tcPr>
            <w:tcW w:w="1603" w:type="dxa"/>
            <w:vMerge w:val="continue"/>
            <w:tcBorders>
              <w:top w:val="outset" w:color="auto" w:sz="6" w:space="0"/>
              <w:left w:val="single" w:color="auto" w:sz="2" w:space="0"/>
              <w:bottom w:val="outset" w:color="auto" w:sz="6" w:space="0"/>
              <w:right w:val="outset" w:color="auto" w:sz="6" w:space="0"/>
            </w:tcBorders>
            <w:shd w:val="clear"/>
            <w:vAlign w:val="center"/>
          </w:tcPr>
          <w:p>
            <w:pPr>
              <w:jc w:val="left"/>
              <w:rPr>
                <w:rFonts w:hint="eastAsia" w:ascii="宋体" w:hAnsi="宋体" w:eastAsia="宋体" w:cs="宋体"/>
                <w:color w:val="3D3D3D"/>
                <w:sz w:val="18"/>
                <w:szCs w:val="18"/>
                <w:u w:val="none"/>
              </w:rPr>
            </w:pPr>
          </w:p>
        </w:tc>
      </w:tr>
      <w:tr>
        <w:tblPrEx>
          <w:tblLayout w:type="fixed"/>
          <w:tblCellMar>
            <w:top w:w="0" w:type="dxa"/>
            <w:left w:w="0" w:type="dxa"/>
            <w:bottom w:w="0" w:type="dxa"/>
            <w:right w:w="0" w:type="dxa"/>
          </w:tblCellMar>
        </w:tblPrEx>
        <w:trPr>
          <w:trHeight w:val="567" w:hRule="exac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ascii="仿宋_GB2312" w:hAnsi="宋体" w:eastAsia="仿宋_GB2312" w:cs="仿宋_GB2312"/>
                <w:color w:val="000000"/>
                <w:kern w:val="0"/>
                <w:sz w:val="20"/>
                <w:szCs w:val="20"/>
                <w:u w:val="none"/>
                <w:bdr w:val="none" w:color="auto" w:sz="0" w:space="0"/>
                <w:lang w:val="en-US" w:eastAsia="zh-CN" w:bidi="ar"/>
              </w:rPr>
              <w:t>1</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出版物出租经营备案</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金川区文化广播影视局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567" w:hRule="exac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2</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药品广告异地备案</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省食品药品监督管理局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878"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3</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医疗机构放射性药品使用许可证核发（一二类）</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省食品药品监督管理局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属于“放射性药品使用许可证核发”的部分审批内容</w:t>
            </w:r>
          </w:p>
        </w:tc>
      </w:tr>
      <w:tr>
        <w:tblPrEx>
          <w:shd w:val="clear"/>
          <w:tblLayout w:type="fixed"/>
          <w:tblCellMar>
            <w:top w:w="0" w:type="dxa"/>
            <w:left w:w="0" w:type="dxa"/>
            <w:bottom w:w="0" w:type="dxa"/>
            <w:right w:w="0" w:type="dxa"/>
          </w:tblCellMar>
        </w:tblPrEx>
        <w:trPr>
          <w:trHeight w:val="878"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4</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因私出入境中介机构资格认定(境外就业、留学除外)</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省公安厅</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1144"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5</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公共汽车和电车客运车辆营运证核发</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金川区交通运输局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属于“公共汽车客运经营许可和汽车租赁经营许可”的部分审批内容</w:t>
            </w:r>
          </w:p>
        </w:tc>
      </w:tr>
      <w:tr>
        <w:tblPrEx>
          <w:shd w:val="clear"/>
          <w:tblLayout w:type="fixed"/>
          <w:tblCellMar>
            <w:top w:w="0" w:type="dxa"/>
            <w:left w:w="0" w:type="dxa"/>
            <w:bottom w:w="0" w:type="dxa"/>
            <w:right w:w="0" w:type="dxa"/>
          </w:tblCellMar>
        </w:tblPrEx>
        <w:trPr>
          <w:trHeight w:val="655"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6</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首次进口非特殊用途化妆品行政许可</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省食品药品监督管理局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613"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7</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食品经营登记（30平方米）</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金川区食品药品监督管理局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654"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8</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电影放映单位设立审批</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金川区文化广播影视局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654"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9</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外商投资电影院设立审批</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省新闻出版广电局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属于其他行政权力</w:t>
            </w:r>
          </w:p>
        </w:tc>
      </w:tr>
      <w:tr>
        <w:tblPrEx>
          <w:tblLayout w:type="fixed"/>
          <w:tblCellMar>
            <w:top w:w="0" w:type="dxa"/>
            <w:left w:w="0" w:type="dxa"/>
            <w:bottom w:w="0" w:type="dxa"/>
            <w:right w:w="0" w:type="dxa"/>
          </w:tblCellMar>
        </w:tblPrEx>
        <w:trPr>
          <w:trHeight w:val="1507"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10</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从事出版物零售业务许可</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金川区文化广播影视局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属于“设立出版物零售企业或者其他单位从事出版物零售业务审批”的子项</w:t>
            </w:r>
          </w:p>
        </w:tc>
      </w:tr>
      <w:tr>
        <w:tblPrEx>
          <w:tblLayout w:type="fixed"/>
          <w:tblCellMar>
            <w:top w:w="0" w:type="dxa"/>
            <w:left w:w="0" w:type="dxa"/>
            <w:bottom w:w="0" w:type="dxa"/>
            <w:right w:w="0" w:type="dxa"/>
          </w:tblCellMar>
        </w:tblPrEx>
        <w:trPr>
          <w:trHeight w:val="2025"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11</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设立从事包装装潢印刷品和其他印刷品印刷经营活动的企业审批（不含商标、票据、保密印刷）</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市文化广播影视新闻出版局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属于“包装装潢印刷企业、其他印刷品印刷企业设立、兼营或变更经营活动以及兼并、合并、分立审批”的子项</w:t>
            </w:r>
          </w:p>
        </w:tc>
      </w:tr>
      <w:tr>
        <w:tblPrEx>
          <w:tblLayout w:type="fixed"/>
          <w:tblCellMar>
            <w:top w:w="0" w:type="dxa"/>
            <w:left w:w="0" w:type="dxa"/>
            <w:bottom w:w="0" w:type="dxa"/>
            <w:right w:w="0" w:type="dxa"/>
          </w:tblCellMar>
        </w:tblPrEx>
        <w:trPr>
          <w:trHeight w:val="1955"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12</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印刷业经营者兼营包装装潢和其他印刷品印刷经营活动审批（不含商标、票据、保密印刷）</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市文化广播影视新闻出版局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属于“包装装潢印刷企业、其他印刷品印刷企业设立、兼营或变更经营活动以及兼并、合并、分立审批”的子项</w:t>
            </w:r>
          </w:p>
        </w:tc>
      </w:tr>
      <w:tr>
        <w:tblPrEx>
          <w:tblLayout w:type="fixed"/>
          <w:tblCellMar>
            <w:top w:w="0" w:type="dxa"/>
            <w:left w:w="0" w:type="dxa"/>
            <w:bottom w:w="0" w:type="dxa"/>
            <w:right w:w="0" w:type="dxa"/>
          </w:tblCellMar>
        </w:tblPrEx>
        <w:trPr>
          <w:trHeight w:val="698"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13</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互联网药品信息服务资格证书核发</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省食品药品监督管理局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属于行政确认事项</w:t>
            </w:r>
          </w:p>
        </w:tc>
      </w:tr>
      <w:tr>
        <w:tblPrEx>
          <w:tblLayout w:type="fixed"/>
          <w:tblCellMar>
            <w:top w:w="0" w:type="dxa"/>
            <w:left w:w="0" w:type="dxa"/>
            <w:bottom w:w="0" w:type="dxa"/>
            <w:right w:w="0" w:type="dxa"/>
          </w:tblCellMar>
        </w:tblPrEx>
        <w:trPr>
          <w:trHeight w:val="892"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14</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医疗器械广告审查</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省食品药品监督管理局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属于“药品、医疗器械、保健食品广告审批”的子项</w:t>
            </w:r>
          </w:p>
        </w:tc>
      </w:tr>
      <w:tr>
        <w:tblPrEx>
          <w:tblLayout w:type="fixed"/>
          <w:tblCellMar>
            <w:top w:w="0" w:type="dxa"/>
            <w:left w:w="0" w:type="dxa"/>
            <w:bottom w:w="0" w:type="dxa"/>
            <w:right w:w="0" w:type="dxa"/>
          </w:tblCellMar>
        </w:tblPrEx>
        <w:trPr>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15</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从事城市生活垃圾经营性清扫、收集、运输、处理服务审批</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金川区环境卫生管理局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454" w:hRule="exac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16</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保安培训许可证核发</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省公安厅</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17</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公章刻制业特种行业许可证核发</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市公安局金川分局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18</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典当业特种行业许可证核发</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市公安局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807"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19</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旅馆业特种行业许可证核发</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市公安局金川分局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591"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20</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道路运输站（场）经营许可</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金川区交通运输局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shd w:val="clear"/>
          <w:tblLayout w:type="fixed"/>
          <w:tblCellMar>
            <w:top w:w="0" w:type="dxa"/>
            <w:left w:w="0" w:type="dxa"/>
            <w:bottom w:w="0" w:type="dxa"/>
            <w:right w:w="0" w:type="dxa"/>
          </w:tblCellMar>
        </w:tblPrEx>
        <w:trPr>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21</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建筑企业资质申请、升级、增项、变更的许可</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市住房和城乡建设局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属于“勘察设计单位、建筑施工企业和工程监理单位资质认定”的子项</w:t>
            </w:r>
          </w:p>
        </w:tc>
      </w:tr>
      <w:tr>
        <w:tblPrEx>
          <w:tblLayout w:type="fixed"/>
          <w:tblCellMar>
            <w:top w:w="0" w:type="dxa"/>
            <w:left w:w="0" w:type="dxa"/>
            <w:bottom w:w="0" w:type="dxa"/>
            <w:right w:w="0" w:type="dxa"/>
          </w:tblCellMar>
        </w:tblPrEx>
        <w:trPr>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22</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房地产开发企业资质核准</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市住房和城乡建设局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849"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23</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道路普通货运经营许可（货运出租、搬场运输除外）</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市交通运输管理局、金川区交通运输局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属于“道路货运经营许可”的部分审批内容</w:t>
            </w:r>
          </w:p>
        </w:tc>
      </w:tr>
      <w:tr>
        <w:tblPrEx>
          <w:tblLayout w:type="fixed"/>
          <w:tblCellMar>
            <w:top w:w="0" w:type="dxa"/>
            <w:left w:w="0" w:type="dxa"/>
            <w:bottom w:w="0" w:type="dxa"/>
            <w:right w:w="0" w:type="dxa"/>
          </w:tblCellMar>
        </w:tblPrEx>
        <w:trPr>
          <w:trHeight w:val="454" w:hRule="exac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24</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机动车维修经营许可</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金川区交通运输局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801"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25</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公共场所卫生许可</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市卫生和计划生育委员会、金川区卫生和计划生育局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1424"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26</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中外合作职业培训机构设立审批</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省人社厅</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属于“中外合作职业培训机构的设立、分立、合并、变更、终止审批”的子项</w:t>
            </w:r>
          </w:p>
        </w:tc>
      </w:tr>
      <w:tr>
        <w:tblPrEx>
          <w:tblLayout w:type="fixed"/>
          <w:tblCellMar>
            <w:top w:w="0" w:type="dxa"/>
            <w:left w:w="0" w:type="dxa"/>
            <w:bottom w:w="0" w:type="dxa"/>
            <w:right w:w="0" w:type="dxa"/>
          </w:tblCellMar>
        </w:tblPrEx>
        <w:trPr>
          <w:trHeight w:val="843"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27</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假肢和矫形器（辅助器具）生产装配企业资格认定</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市民政局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454" w:hRule="exac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28</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bCs/>
                <w:color w:val="000000"/>
                <w:kern w:val="0"/>
                <w:sz w:val="20"/>
                <w:szCs w:val="20"/>
                <w:u w:val="none"/>
                <w:bdr w:val="none" w:color="auto" w:sz="0" w:space="0"/>
                <w:lang w:val="en-US" w:eastAsia="zh-CN" w:bidi="ar"/>
              </w:rPr>
              <w:t>水路运输经营许可</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市交通运输管理局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454" w:hRule="exac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29</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bCs/>
                <w:color w:val="000000"/>
                <w:kern w:val="0"/>
                <w:sz w:val="20"/>
                <w:szCs w:val="20"/>
                <w:u w:val="none"/>
                <w:bdr w:val="none" w:color="auto" w:sz="0" w:space="0"/>
                <w:lang w:val="en-US" w:eastAsia="zh-CN" w:bidi="ar"/>
              </w:rPr>
              <w:t>港口经营许可</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市交通运输管理局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454" w:hRule="exac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30</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bCs/>
                <w:color w:val="000000"/>
                <w:kern w:val="0"/>
                <w:sz w:val="20"/>
                <w:szCs w:val="20"/>
                <w:u w:val="none"/>
                <w:bdr w:val="none" w:color="auto" w:sz="0" w:space="0"/>
                <w:lang w:val="en-US" w:eastAsia="zh-CN" w:bidi="ar"/>
              </w:rPr>
              <w:t>经营港口理货业务许可</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市交通运输管理局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31</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机动车驾驶员培训经营许可</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金川区交通运输局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F0F0F0" w:sz="8" w:space="0"/>
              <w:right w:val="outset" w:color="F0F0F0" w:sz="8"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801"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32</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道路货运经营许可</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市交通运输管理局、金川区交通运输局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948"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33</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道路旅客运输经营许可</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金川区交通运输局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属于“道路客运经营及班线许可”的部分审批内容</w:t>
            </w:r>
          </w:p>
        </w:tc>
      </w:tr>
      <w:tr>
        <w:tblPrEx>
          <w:tblLayout w:type="fixed"/>
          <w:tblCellMar>
            <w:top w:w="0" w:type="dxa"/>
            <w:left w:w="0" w:type="dxa"/>
            <w:bottom w:w="0" w:type="dxa"/>
            <w:right w:w="0" w:type="dxa"/>
          </w:tblCellMar>
        </w:tblPrEx>
        <w:trPr>
          <w:trHeight w:val="843"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34</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道路普通货运经营许可（货运出租、搬场运输）</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市交通运输管理局、金川区交通运输局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属于“道路货运经营许可”的部分审批内容</w:t>
            </w:r>
          </w:p>
        </w:tc>
      </w:tr>
      <w:tr>
        <w:tblPrEx>
          <w:tblLayout w:type="fixed"/>
          <w:tblCellMar>
            <w:top w:w="0" w:type="dxa"/>
            <w:left w:w="0" w:type="dxa"/>
            <w:bottom w:w="0" w:type="dxa"/>
            <w:right w:w="0" w:type="dxa"/>
          </w:tblCellMar>
        </w:tblPrEx>
        <w:trPr>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35</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中外合资经营、中外合作经营演出经纪机构设立审批</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文化部、省文化厅</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属于“演出经纪机构设立、变更审批”的部分审批内容</w:t>
            </w:r>
          </w:p>
        </w:tc>
      </w:tr>
      <w:tr>
        <w:tblPrEx>
          <w:tblLayout w:type="fixed"/>
          <w:tblCellMar>
            <w:top w:w="0" w:type="dxa"/>
            <w:left w:w="0" w:type="dxa"/>
            <w:bottom w:w="0" w:type="dxa"/>
            <w:right w:w="0" w:type="dxa"/>
          </w:tblCellMar>
        </w:tblPrEx>
        <w:trPr>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36</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港、澳投资者在内地投资设立合资、合作、独资经营的演出经纪机构审批</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省文化厅</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37</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台湾地区投资者在内地投资设立合资、合作经营的演出经纪机构审批</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省文化厅</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38</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港、澳服务提供者在内地设立互联网上网服务营业场所审批</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市文化广播影视新闻出版局、金川区文化广播影视局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属于“设立互联网上网服务营业场所经营单位审批”的部分审批内容</w:t>
            </w:r>
          </w:p>
        </w:tc>
      </w:tr>
      <w:tr>
        <w:tblPrEx>
          <w:tblLayout w:type="fixed"/>
          <w:tblCellMar>
            <w:top w:w="0" w:type="dxa"/>
            <w:left w:w="0" w:type="dxa"/>
            <w:bottom w:w="0" w:type="dxa"/>
            <w:right w:w="0" w:type="dxa"/>
          </w:tblCellMar>
        </w:tblPrEx>
        <w:trPr>
          <w:trHeight w:val="510" w:hRule="exac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39</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拍卖企业拍卖文物审批</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省文物局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40</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歌舞娱乐场所设立审批</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金川区文化广播影视局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属于“娱乐经营许可证核发”的部分审批内容</w:t>
            </w:r>
          </w:p>
        </w:tc>
      </w:tr>
      <w:tr>
        <w:tblPrEx>
          <w:tblLayout w:type="fixed"/>
          <w:tblCellMar>
            <w:top w:w="0" w:type="dxa"/>
            <w:left w:w="0" w:type="dxa"/>
            <w:bottom w:w="0" w:type="dxa"/>
            <w:right w:w="0" w:type="dxa"/>
          </w:tblCellMar>
        </w:tblPrEx>
        <w:trPr>
          <w:trHeight w:val="906"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41</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游艺娱乐场所设立审批</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金川区文化广播影视局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属于“娱乐经营许可证核发”的部分审批内容</w:t>
            </w:r>
          </w:p>
        </w:tc>
      </w:tr>
      <w:tr>
        <w:tblPrEx>
          <w:tblLayout w:type="fixed"/>
          <w:tblCellMar>
            <w:top w:w="0" w:type="dxa"/>
            <w:left w:w="0" w:type="dxa"/>
            <w:bottom w:w="0" w:type="dxa"/>
            <w:right w:w="0" w:type="dxa"/>
          </w:tblCellMar>
        </w:tblPrEx>
        <w:trPr>
          <w:trHeight w:val="438"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42</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口岸卫生许可证核发</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甘肃出入境检验检疫局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906"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43</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进出口商品检验鉴定业务的检验许可</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质检总局（许可）、甘肃出入境检验检疫局（受理）</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640"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44</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外商投资旅行社业务许可</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省旅游发展委员会</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807"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45</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经营国内旅游业务和入境旅游业务的旅行社设立审批</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市旅游局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612"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46</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设立会计师事务所及其分支机构审批</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省财政厅</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626"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47</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中介机构从事会计代理记账业务审批</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金川区财政局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878"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48</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营利性医疗机构设置审批</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金川区卫生和计划生育局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属于“医疗机构设置及执业许可”的部分审批内容</w:t>
            </w:r>
          </w:p>
        </w:tc>
      </w:tr>
      <w:tr>
        <w:tblPrEx>
          <w:tblLayout w:type="fixed"/>
          <w:tblCellMar>
            <w:top w:w="0" w:type="dxa"/>
            <w:left w:w="0" w:type="dxa"/>
            <w:bottom w:w="0" w:type="dxa"/>
            <w:right w:w="0" w:type="dxa"/>
          </w:tblCellMar>
        </w:tblPrEx>
        <w:trPr>
          <w:trHeight w:val="906"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49</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消毒产品生产企业卫生许可（一次性使用医疗用品的生产企业除外）</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省卫生计生委</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454" w:hRule="exac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50</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测绘资质证书核发</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市国土资源局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696"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51</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燃气经营许可证核发</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市住房和城乡建设局、金川区住房和城乡建设局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52</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经营高危险性体育项目许可</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金川区教育局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454" w:hRule="exac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53</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设立拍卖企业审核许可</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省商务厅</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454" w:hRule="exac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54</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从事粮食收购活动许可</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市粮食局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shd w:val="clear"/>
          <w:tblLayout w:type="fixed"/>
          <w:tblCellMar>
            <w:top w:w="0" w:type="dxa"/>
            <w:left w:w="0" w:type="dxa"/>
            <w:bottom w:w="0" w:type="dxa"/>
            <w:right w:w="0" w:type="dxa"/>
          </w:tblCellMar>
        </w:tblPrEx>
        <w:trPr>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55</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养老机构设立许可</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市民政局、金川区民政局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454" w:hRule="exac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56</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保安服务许可证核发</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省公安厅</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920"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57</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出版物批发单位设立许可</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省新闻出版广电局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属于“出版物批发单位设立、变更许可”的子项</w:t>
            </w:r>
          </w:p>
        </w:tc>
      </w:tr>
      <w:tr>
        <w:tblPrEx>
          <w:tblLayout w:type="fixed"/>
          <w:tblCellMar>
            <w:top w:w="0" w:type="dxa"/>
            <w:left w:w="0" w:type="dxa"/>
            <w:bottom w:w="0" w:type="dxa"/>
            <w:right w:w="0" w:type="dxa"/>
          </w:tblCellMar>
        </w:tblPrEx>
        <w:trPr>
          <w:trHeight w:val="222"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58</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设立外商投资印刷企业和外商投资数字印刷企业审核</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省新闻出版广电局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属于其他行政权力</w:t>
            </w:r>
          </w:p>
        </w:tc>
      </w:tr>
      <w:tr>
        <w:tblPrEx>
          <w:tblLayout w:type="fixed"/>
          <w:tblCellMar>
            <w:top w:w="0" w:type="dxa"/>
            <w:left w:w="0" w:type="dxa"/>
            <w:bottom w:w="0" w:type="dxa"/>
            <w:right w:w="0" w:type="dxa"/>
          </w:tblCellMar>
        </w:tblPrEx>
        <w:trPr>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59</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融资性担保机构设立与变更审批</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省工信委</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60</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保险公司变更名称、变更注册资本、变更公司或者分支机构的营业场所、撤销分支机构、公司分立或者合并、修改公司章程、变更出资额占有限责任公司资本总额百分之五以上的股东，或者变更持有股份有限公司股份百分之五以上的股东及保险公司终止（解散、破产）审批</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保监会及派出机构</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61</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石油成品油批发、零售经营资格审批</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省商务厅</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属于“石油成品油批发、仓储、零售经营资格审批”的部分审批内容</w:t>
            </w:r>
          </w:p>
        </w:tc>
      </w:tr>
      <w:tr>
        <w:tblPrEx>
          <w:tblLayout w:type="fixed"/>
          <w:tblCellMar>
            <w:top w:w="0" w:type="dxa"/>
            <w:left w:w="0" w:type="dxa"/>
            <w:bottom w:w="0" w:type="dxa"/>
            <w:right w:w="0" w:type="dxa"/>
          </w:tblCellMar>
        </w:tblPrEx>
        <w:trPr>
          <w:trHeight w:val="454" w:hRule="exac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62</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食盐定点生产企业许可</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省工信委</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627"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63</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电影发行单位设立、变更业务范围审批</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省新闻出版广电局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977"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64</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设立经营性互联网文化单位审批</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省文化厅</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626"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65</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开办视频点播业务审批（乙种）</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省新闻出版广电局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66</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化妆品生产许可</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省食品药品监督管理局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1199"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67</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食品生产许可（保健食品、特殊医学用途配方食品、婴幼儿配方食品外）</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市食品药品监督管理局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属于“食品（含保健食品、食品添加剂）生产许可”的部分审批内容</w:t>
            </w:r>
          </w:p>
        </w:tc>
      </w:tr>
      <w:tr>
        <w:tblPrEx>
          <w:shd w:val="clear"/>
          <w:tblLayout w:type="fixed"/>
          <w:tblCellMar>
            <w:top w:w="0" w:type="dxa"/>
            <w:left w:w="0" w:type="dxa"/>
            <w:bottom w:w="0" w:type="dxa"/>
            <w:right w:w="0" w:type="dxa"/>
          </w:tblCellMar>
        </w:tblPrEx>
        <w:trPr>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68</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药品生产许可证核发及变更</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省食品药品监督管理局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654"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69</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药品经营（批发）许可证核发及变更</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省食品药品监督管理局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627"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70</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药品经营（零售）许可证核发及变更</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市食品药品监督管理局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680" w:hRule="exac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71</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第二类医疗器械产品注册审批</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省食品药品监督管理局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shd w:val="clear"/>
          <w:tblLayout w:type="fixed"/>
          <w:tblCellMar>
            <w:top w:w="0" w:type="dxa"/>
            <w:left w:w="0" w:type="dxa"/>
            <w:bottom w:w="0" w:type="dxa"/>
            <w:right w:w="0" w:type="dxa"/>
          </w:tblCellMar>
        </w:tblPrEx>
        <w:trPr>
          <w:trHeight w:val="680" w:hRule="exac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72</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第二类、第三类医疗器械生产许可</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省食品药品监督管理局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680" w:hRule="exac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73</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第三类医疗器械经营许可证核发</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市食品药品监督管理局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1186"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74</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食品生产许可（保健食品、特殊医学用途配方食品、婴幼儿配方食品）</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省食品药品监督管理局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属于“食品（含保健食品、食品添加剂）生产许可”的部分审批内容</w:t>
            </w:r>
          </w:p>
        </w:tc>
      </w:tr>
      <w:tr>
        <w:tblPrEx>
          <w:tblLayout w:type="fixed"/>
          <w:tblCellMar>
            <w:top w:w="0" w:type="dxa"/>
            <w:left w:w="0" w:type="dxa"/>
            <w:bottom w:w="0" w:type="dxa"/>
            <w:right w:w="0" w:type="dxa"/>
          </w:tblCellMar>
        </w:tblPrEx>
        <w:trPr>
          <w:trHeight w:val="976"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75</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医疗机构放射性药品使用许可（三、四类）</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省食品药品监督管理局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属于“放射性药品使用许可证核发”的部分审批内容</w:t>
            </w:r>
          </w:p>
        </w:tc>
      </w:tr>
      <w:tr>
        <w:tblPrEx>
          <w:tblLayout w:type="fixed"/>
          <w:tblCellMar>
            <w:top w:w="0" w:type="dxa"/>
            <w:left w:w="0" w:type="dxa"/>
            <w:bottom w:w="0" w:type="dxa"/>
            <w:right w:w="0" w:type="dxa"/>
          </w:tblCellMar>
        </w:tblPrEx>
        <w:trPr>
          <w:trHeight w:val="626"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76</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新药生产和上市许可</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国家食品药品监督管理总局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454" w:hRule="exac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77</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特种设备生产单位许可</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质检总局，省质监局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668"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78</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特种设备检验检测机构核准</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质检总局，省质监局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省级：气瓶检测机构资格核准</w:t>
            </w:r>
          </w:p>
        </w:tc>
      </w:tr>
      <w:tr>
        <w:tblPrEx>
          <w:shd w:val="clear"/>
          <w:tblLayout w:type="fixed"/>
          <w:tblCellMar>
            <w:top w:w="0" w:type="dxa"/>
            <w:left w:w="0" w:type="dxa"/>
            <w:bottom w:w="0" w:type="dxa"/>
            <w:right w:w="0" w:type="dxa"/>
          </w:tblCellMar>
        </w:tblPrEx>
        <w:trPr>
          <w:trHeight w:val="696"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79</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林木种子经营许可证核发</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金川区林业局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640"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80</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营业性爆破作业单位许可证核发</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省公安厅</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654"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81</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非营业性爆破作业单位许可证核发</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市公安局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1171"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82</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弩的制造、销售审批</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省公安厅</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属于“弩的制造、销售、进口、运输、使用审批”的部分审批内容</w:t>
            </w:r>
          </w:p>
        </w:tc>
      </w:tr>
      <w:tr>
        <w:tblPrEx>
          <w:tblLayout w:type="fixed"/>
          <w:tblCellMar>
            <w:top w:w="0" w:type="dxa"/>
            <w:left w:w="0" w:type="dxa"/>
            <w:bottom w:w="0" w:type="dxa"/>
            <w:right w:w="0" w:type="dxa"/>
          </w:tblCellMar>
        </w:tblPrEx>
        <w:trPr>
          <w:trHeight w:val="668"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83</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设立典当行及分支机构审批</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省商务厅</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738"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84</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直销企业及其分支机构的设立和变更审批</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商务部</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920"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85</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烟花爆竹批发许可</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市安全生产监督管理局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属于“烟花爆竹经营许可证核发”部分审批内容</w:t>
            </w:r>
          </w:p>
        </w:tc>
      </w:tr>
      <w:tr>
        <w:tblPrEx>
          <w:tblLayout w:type="fixed"/>
          <w:tblCellMar>
            <w:top w:w="0" w:type="dxa"/>
            <w:left w:w="0" w:type="dxa"/>
            <w:bottom w:w="0" w:type="dxa"/>
            <w:right w:w="0" w:type="dxa"/>
          </w:tblCellMar>
        </w:tblPrEx>
        <w:trPr>
          <w:trHeight w:val="933"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86</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烟花爆竹零售许可</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金川区安全生产监督管理局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属于“烟花爆竹经营许可证核发”部分审批内容</w:t>
            </w:r>
          </w:p>
        </w:tc>
      </w:tr>
      <w:tr>
        <w:tblPrEx>
          <w:shd w:val="clear"/>
          <w:tblLayout w:type="fixed"/>
          <w:tblCellMar>
            <w:top w:w="0" w:type="dxa"/>
            <w:left w:w="0" w:type="dxa"/>
            <w:bottom w:w="0" w:type="dxa"/>
            <w:right w:w="0" w:type="dxa"/>
          </w:tblCellMar>
        </w:tblPrEx>
        <w:trPr>
          <w:trHeight w:val="949"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87</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危险化学品经营许可证核发</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市安全生产监督管理局、金川区安全生产监督管理局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1843"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88</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危险化学品生产企业安全生产许可证核发</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省安监局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属于“非煤矿矿山企业、危险化学品和烟花爆竹生产企业安全生产许可证核发”部分审批内容</w:t>
            </w:r>
          </w:p>
        </w:tc>
      </w:tr>
      <w:tr>
        <w:tblPrEx>
          <w:tblLayout w:type="fixed"/>
          <w:tblCellMar>
            <w:top w:w="0" w:type="dxa"/>
            <w:left w:w="0" w:type="dxa"/>
            <w:bottom w:w="0" w:type="dxa"/>
            <w:right w:w="0" w:type="dxa"/>
          </w:tblCellMar>
        </w:tblPrEx>
        <w:trPr>
          <w:trHeight w:val="1256"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89</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涉及剧毒化学品生产以外的其他危险化学品生产企业安全生产许可证核发</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市安全生产监督管理局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711"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90</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危险化学品安全使用许可证核发</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市安全生产监督管理局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r>
        <w:tblPrEx>
          <w:tblLayout w:type="fixed"/>
          <w:tblCellMar>
            <w:top w:w="0" w:type="dxa"/>
            <w:left w:w="0" w:type="dxa"/>
            <w:bottom w:w="0" w:type="dxa"/>
            <w:right w:w="0" w:type="dxa"/>
          </w:tblCellMar>
        </w:tblPrEx>
        <w:trPr>
          <w:trHeight w:val="1996"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91</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新建、改建、扩建危险化学品生产、储存建设项目以及伴有危险化学品产生的化工建设项目（包括危险化学品长输管道建设项目）的安全条件审查</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市安全生产监督管理局、金川区安全生产监督管理局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属于“生产经营单位新（改、扩）建设项目安全设施设计审查”的部分审批内容</w:t>
            </w:r>
          </w:p>
        </w:tc>
      </w:tr>
      <w:tr>
        <w:tblPrEx>
          <w:tblLayout w:type="fixed"/>
          <w:tblCellMar>
            <w:top w:w="0" w:type="dxa"/>
            <w:left w:w="0" w:type="dxa"/>
            <w:bottom w:w="0" w:type="dxa"/>
            <w:right w:w="0" w:type="dxa"/>
          </w:tblCellMar>
        </w:tblPrEx>
        <w:trPr>
          <w:trHeight w:val="1129"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92</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道路危险货物运输经营许可</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市交通运输管理局、金川区交通运输局</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属于“道路货运经营许可”的部分审批内容</w:t>
            </w:r>
          </w:p>
        </w:tc>
      </w:tr>
      <w:tr>
        <w:tblPrEx>
          <w:tblLayout w:type="fixed"/>
          <w:tblCellMar>
            <w:top w:w="0" w:type="dxa"/>
            <w:left w:w="0" w:type="dxa"/>
            <w:bottom w:w="0" w:type="dxa"/>
            <w:right w:w="0" w:type="dxa"/>
          </w:tblCellMar>
        </w:tblPrEx>
        <w:trPr>
          <w:trHeight w:val="857"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93</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民用爆炸物品销售许可</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省工信委</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民用爆炸物品销售企业设立许可</w:t>
            </w:r>
          </w:p>
        </w:tc>
      </w:tr>
      <w:tr>
        <w:tblPrEx>
          <w:shd w:val="clear"/>
          <w:tblLayout w:type="fixed"/>
          <w:tblCellMar>
            <w:top w:w="0" w:type="dxa"/>
            <w:left w:w="0" w:type="dxa"/>
            <w:bottom w:w="0" w:type="dxa"/>
            <w:right w:w="0" w:type="dxa"/>
          </w:tblCellMar>
        </w:tblPrEx>
        <w:trPr>
          <w:trHeight w:val="850" w:hRule="atLeast"/>
          <w:jc w:val="center"/>
        </w:trPr>
        <w:tc>
          <w:tcPr>
            <w:tcW w:w="3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94</w:t>
            </w:r>
          </w:p>
        </w:tc>
        <w:tc>
          <w:tcPr>
            <w:tcW w:w="207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民用爆炸物品安全生产许可</w:t>
            </w:r>
          </w:p>
        </w:tc>
        <w:tc>
          <w:tcPr>
            <w:tcW w:w="1946"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省工信委</w:t>
            </w:r>
          </w:p>
        </w:tc>
        <w:tc>
          <w:tcPr>
            <w:tcW w:w="57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44"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709"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c>
          <w:tcPr>
            <w:tcW w:w="567"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center"/>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w:t>
            </w:r>
          </w:p>
        </w:tc>
        <w:tc>
          <w:tcPr>
            <w:tcW w:w="1603" w:type="dxa"/>
            <w:tcBorders>
              <w:top w:val="outset" w:color="auto" w:sz="6" w:space="0"/>
              <w:left w:val="single" w:color="auto" w:sz="2"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280" w:lineRule="exact"/>
              <w:ind w:left="0" w:right="0"/>
              <w:jc w:val="left"/>
              <w:rPr>
                <w:rFonts w:hint="eastAsia" w:ascii="宋体" w:hAnsi="宋体" w:eastAsia="宋体" w:cs="宋体"/>
                <w:color w:val="000000"/>
                <w:u w:val="none"/>
              </w:rPr>
            </w:pPr>
            <w:r>
              <w:rPr>
                <w:rFonts w:hint="default" w:ascii="仿宋_GB2312" w:hAnsi="宋体" w:eastAsia="仿宋_GB2312" w:cs="仿宋_GB2312"/>
                <w:color w:val="000000"/>
                <w:kern w:val="0"/>
                <w:sz w:val="20"/>
                <w:szCs w:val="20"/>
                <w:u w:val="none"/>
                <w:bdr w:val="none" w:color="auto" w:sz="0" w:space="0"/>
                <w:lang w:val="en-US" w:eastAsia="zh-CN" w:bidi="ar"/>
              </w:rPr>
              <w:t> </w:t>
            </w:r>
          </w:p>
        </w:tc>
      </w:tr>
    </w:tbl>
    <w:p>
      <w:pPr>
        <w:rPr>
          <w:rFonts w:hint="eastAsia"/>
          <w:lang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EE06FE"/>
    <w:rsid w:val="09F17044"/>
    <w:rsid w:val="0F2C2152"/>
    <w:rsid w:val="125C1881"/>
    <w:rsid w:val="16BB74AD"/>
    <w:rsid w:val="17D54171"/>
    <w:rsid w:val="17EB127C"/>
    <w:rsid w:val="18796507"/>
    <w:rsid w:val="22BA2453"/>
    <w:rsid w:val="239E7352"/>
    <w:rsid w:val="2F343C0D"/>
    <w:rsid w:val="378F0C60"/>
    <w:rsid w:val="403B53A8"/>
    <w:rsid w:val="44E16E9B"/>
    <w:rsid w:val="479F2B9B"/>
    <w:rsid w:val="48DE1486"/>
    <w:rsid w:val="497D3A3B"/>
    <w:rsid w:val="4F910273"/>
    <w:rsid w:val="5469293D"/>
    <w:rsid w:val="5E761FF1"/>
    <w:rsid w:val="60206CDE"/>
    <w:rsid w:val="63D070EE"/>
    <w:rsid w:val="6B186B58"/>
    <w:rsid w:val="6D80217C"/>
    <w:rsid w:val="7E527E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qFormat/>
    <w:uiPriority w:val="0"/>
    <w:rPr>
      <w:rFonts w:hint="eastAsia" w:ascii="宋体" w:hAnsi="宋体" w:eastAsia="宋体" w:cs="宋体"/>
      <w:color w:val="3D3D3D"/>
      <w:u w:val="none"/>
    </w:rPr>
  </w:style>
  <w:style w:type="character" w:styleId="6">
    <w:name w:val="Emphasis"/>
    <w:basedOn w:val="3"/>
    <w:qFormat/>
    <w:uiPriority w:val="0"/>
    <w:rPr>
      <w:i/>
    </w:rPr>
  </w:style>
  <w:style w:type="character" w:styleId="7">
    <w:name w:val="HTML Acronym"/>
    <w:basedOn w:val="3"/>
    <w:qFormat/>
    <w:uiPriority w:val="0"/>
  </w:style>
  <w:style w:type="character" w:styleId="8">
    <w:name w:val="Hyperlink"/>
    <w:basedOn w:val="3"/>
    <w:qFormat/>
    <w:uiPriority w:val="0"/>
    <w:rPr>
      <w:rFonts w:hint="eastAsia" w:ascii="宋体" w:hAnsi="宋体" w:eastAsia="宋体" w:cs="宋体"/>
      <w:color w:val="3D3D3D"/>
      <w:u w:val="none"/>
    </w:rPr>
  </w:style>
  <w:style w:type="character" w:styleId="9">
    <w:name w:val="HTML Code"/>
    <w:basedOn w:val="3"/>
    <w:qFormat/>
    <w:uiPriority w:val="0"/>
    <w:rPr>
      <w:rFonts w:ascii="Courier New" w:hAnsi="Courier New"/>
      <w:sz w:val="20"/>
    </w:rPr>
  </w:style>
  <w:style w:type="character" w:styleId="10">
    <w:name w:val="HTML Cite"/>
    <w:basedOn w:val="3"/>
    <w:qFormat/>
    <w:uiPriority w:val="0"/>
    <w:rPr>
      <w:i/>
    </w:rPr>
  </w:style>
  <w:style w:type="character" w:customStyle="1" w:styleId="12">
    <w:name w:val="font"/>
    <w:basedOn w:val="3"/>
    <w:qFormat/>
    <w:uiPriority w:val="0"/>
  </w:style>
  <w:style w:type="character" w:customStyle="1" w:styleId="13">
    <w:name w:val="gwds_nopic"/>
    <w:basedOn w:val="3"/>
    <w:qFormat/>
    <w:uiPriority w:val="0"/>
  </w:style>
  <w:style w:type="character" w:customStyle="1" w:styleId="14">
    <w:name w:val="gwds_nopic1"/>
    <w:basedOn w:val="3"/>
    <w:qFormat/>
    <w:uiPriority w:val="0"/>
  </w:style>
  <w:style w:type="character" w:customStyle="1" w:styleId="15">
    <w:name w:val="gwds_nopic2"/>
    <w:basedOn w:val="3"/>
    <w:qFormat/>
    <w:uiPriority w:val="0"/>
  </w:style>
  <w:style w:type="character" w:customStyle="1" w:styleId="16">
    <w:name w:val="startenddate"/>
    <w:basedOn w:val="3"/>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甚好</cp:lastModifiedBy>
  <dcterms:modified xsi:type="dcterms:W3CDTF">2018-04-13T03:25:27Z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