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20" w:lineRule="atLeast"/>
        <w:ind w:left="0" w:right="0"/>
        <w:jc w:val="center"/>
      </w:pPr>
      <w:bookmarkStart w:id="0" w:name="_GoBack"/>
      <w:r>
        <w:rPr>
          <w:rFonts w:ascii="方正小标宋_GBK" w:hAnsi="方正小标宋_GBK" w:eastAsia="方正小标宋_GBK" w:cs="方正小标宋_GBK"/>
          <w:color w:val="333333"/>
          <w:kern w:val="0"/>
          <w:sz w:val="44"/>
          <w:szCs w:val="44"/>
          <w:bdr w:val="none" w:color="auto" w:sz="0" w:space="0"/>
          <w:lang w:val="en-US" w:eastAsia="zh-CN" w:bidi="ar"/>
        </w:rPr>
        <w:t>安徽省开展“证照分离”改革试点</w:t>
      </w:r>
      <w:r>
        <w:rPr>
          <w:rFonts w:hint="eastAsia" w:ascii="宋体" w:hAnsi="宋体" w:eastAsia="宋体" w:cs="宋体"/>
          <w:color w:val="333333"/>
          <w:kern w:val="0"/>
          <w:sz w:val="24"/>
          <w:szCs w:val="24"/>
          <w:bdr w:val="none" w:color="auto" w:sz="0" w:space="0"/>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20" w:lineRule="atLeast"/>
        <w:ind w:left="0" w:right="0"/>
        <w:jc w:val="center"/>
      </w:pPr>
      <w:r>
        <w:rPr>
          <w:rFonts w:hint="default" w:ascii="方正小标宋_GBK" w:hAnsi="方正小标宋_GBK" w:eastAsia="方正小标宋_GBK" w:cs="方正小标宋_GBK"/>
          <w:color w:val="333333"/>
          <w:kern w:val="0"/>
          <w:sz w:val="44"/>
          <w:szCs w:val="44"/>
          <w:bdr w:val="none" w:color="auto" w:sz="0" w:space="0"/>
          <w:lang w:val="en-US" w:eastAsia="zh-CN" w:bidi="ar"/>
        </w:rPr>
        <w:t>具体事项表</w:t>
      </w:r>
      <w:r>
        <w:rPr>
          <w:rFonts w:hint="eastAsia" w:ascii="宋体" w:hAnsi="宋体" w:eastAsia="宋体" w:cs="宋体"/>
          <w:color w:val="333333"/>
          <w:kern w:val="0"/>
          <w:sz w:val="24"/>
          <w:szCs w:val="24"/>
          <w:bdr w:val="none" w:color="auto" w:sz="0" w:space="0"/>
          <w:lang w:val="en-US" w:eastAsia="zh-CN" w:bidi="ar"/>
        </w:rPr>
        <w:t xml:space="preserve"> </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20" w:lineRule="atLeast"/>
        <w:ind w:left="0" w:right="0" w:firstLine="420"/>
        <w:jc w:val="left"/>
      </w:pPr>
      <w:r>
        <w:rPr>
          <w:rFonts w:hint="eastAsia" w:ascii="宋体" w:hAnsi="宋体" w:eastAsia="宋体" w:cs="宋体"/>
          <w:color w:val="333333"/>
          <w:kern w:val="0"/>
          <w:sz w:val="24"/>
          <w:szCs w:val="24"/>
          <w:bdr w:val="none" w:color="auto" w:sz="0" w:space="0"/>
          <w:lang w:val="en-US" w:eastAsia="zh-CN" w:bidi="ar"/>
        </w:rPr>
        <w:t xml:space="preserve">  </w:t>
      </w:r>
    </w:p>
    <w:tbl>
      <w:tblPr>
        <w:tblW w:w="9081" w:type="dxa"/>
        <w:jc w:val="center"/>
        <w:tblInd w:w="-387"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597"/>
        <w:gridCol w:w="1642"/>
        <w:gridCol w:w="1477"/>
        <w:gridCol w:w="736"/>
        <w:gridCol w:w="725"/>
        <w:gridCol w:w="811"/>
        <w:gridCol w:w="896"/>
        <w:gridCol w:w="789"/>
        <w:gridCol w:w="140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597"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ascii="方正黑体_GBK" w:hAnsi="方正黑体_GBK" w:eastAsia="方正黑体_GBK" w:cs="方正黑体_GBK"/>
                <w:color w:val="333333"/>
                <w:kern w:val="0"/>
                <w:sz w:val="24"/>
                <w:szCs w:val="24"/>
                <w:bdr w:val="none" w:color="auto" w:sz="0" w:space="0"/>
                <w:lang w:val="en-US" w:eastAsia="zh-CN" w:bidi="ar"/>
              </w:rPr>
              <w:t>序号</w:t>
            </w:r>
            <w:r>
              <w:rPr>
                <w:rFonts w:hint="eastAsia" w:ascii="宋体" w:hAnsi="宋体" w:eastAsia="宋体" w:cs="宋体"/>
                <w:color w:val="333333"/>
                <w:kern w:val="0"/>
                <w:sz w:val="24"/>
                <w:szCs w:val="24"/>
                <w:bdr w:val="none" w:color="auto" w:sz="0" w:space="0"/>
                <w:lang w:val="en-US" w:eastAsia="zh-CN" w:bidi="ar"/>
              </w:rPr>
              <w:t xml:space="preserve"> </w:t>
            </w:r>
          </w:p>
        </w:tc>
        <w:tc>
          <w:tcPr>
            <w:tcW w:w="1642"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default" w:ascii="方正黑体_GBK" w:hAnsi="方正黑体_GBK" w:eastAsia="方正黑体_GBK" w:cs="方正黑体_GBK"/>
                <w:color w:val="333333"/>
                <w:kern w:val="0"/>
                <w:sz w:val="24"/>
                <w:szCs w:val="24"/>
                <w:bdr w:val="none" w:color="auto" w:sz="0" w:space="0"/>
                <w:lang w:val="en-US" w:eastAsia="zh-CN" w:bidi="ar"/>
              </w:rPr>
              <w:t>事项名称</w:t>
            </w:r>
            <w:r>
              <w:rPr>
                <w:rFonts w:hint="eastAsia" w:ascii="宋体" w:hAnsi="宋体" w:eastAsia="宋体" w:cs="宋体"/>
                <w:color w:val="333333"/>
                <w:kern w:val="0"/>
                <w:sz w:val="24"/>
                <w:szCs w:val="24"/>
                <w:bdr w:val="none" w:color="auto" w:sz="0" w:space="0"/>
                <w:lang w:val="en-US" w:eastAsia="zh-CN" w:bidi="ar"/>
              </w:rPr>
              <w:t xml:space="preserve"> </w:t>
            </w:r>
          </w:p>
        </w:tc>
        <w:tc>
          <w:tcPr>
            <w:tcW w:w="1477"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default" w:ascii="方正黑体_GBK" w:hAnsi="方正黑体_GBK" w:eastAsia="方正黑体_GBK" w:cs="方正黑体_GBK"/>
                <w:color w:val="333333"/>
                <w:kern w:val="0"/>
                <w:sz w:val="24"/>
                <w:szCs w:val="24"/>
                <w:bdr w:val="none" w:color="auto" w:sz="0" w:space="0"/>
                <w:lang w:val="en-US" w:eastAsia="zh-CN" w:bidi="ar"/>
              </w:rPr>
              <w:t>实施机关</w:t>
            </w:r>
            <w:r>
              <w:rPr>
                <w:rFonts w:hint="eastAsia" w:ascii="宋体" w:hAnsi="宋体" w:eastAsia="宋体" w:cs="宋体"/>
                <w:color w:val="333333"/>
                <w:kern w:val="0"/>
                <w:sz w:val="24"/>
                <w:szCs w:val="24"/>
                <w:bdr w:val="none" w:color="auto" w:sz="0" w:space="0"/>
                <w:lang w:val="en-US" w:eastAsia="zh-CN" w:bidi="ar"/>
              </w:rPr>
              <w:t xml:space="preserve"> </w:t>
            </w:r>
          </w:p>
        </w:tc>
        <w:tc>
          <w:tcPr>
            <w:tcW w:w="3957" w:type="dxa"/>
            <w:gridSpan w:val="5"/>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default" w:ascii="方正黑体_GBK" w:hAnsi="方正黑体_GBK" w:eastAsia="方正黑体_GBK" w:cs="方正黑体_GBK"/>
                <w:color w:val="333333"/>
                <w:kern w:val="0"/>
                <w:sz w:val="24"/>
                <w:szCs w:val="24"/>
                <w:bdr w:val="none" w:color="auto" w:sz="0" w:space="0"/>
                <w:lang w:val="en-US" w:eastAsia="zh-CN" w:bidi="ar"/>
              </w:rPr>
              <w:t>改 革 方 式</w:t>
            </w: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default" w:ascii="方正黑体_GBK" w:hAnsi="方正黑体_GBK" w:eastAsia="方正黑体_GBK" w:cs="方正黑体_GBK"/>
                <w:color w:val="333333"/>
                <w:kern w:val="0"/>
                <w:sz w:val="24"/>
                <w:szCs w:val="24"/>
                <w:bdr w:val="none" w:color="auto" w:sz="0" w:space="0"/>
                <w:lang w:val="en-US" w:eastAsia="zh-CN" w:bidi="ar"/>
              </w:rPr>
              <w:t>备  注</w:t>
            </w:r>
            <w:r>
              <w:rPr>
                <w:rFonts w:hint="eastAsia" w:ascii="宋体" w:hAnsi="宋体" w:eastAsia="宋体" w:cs="宋体"/>
                <w:color w:val="333333"/>
                <w:kern w:val="0"/>
                <w:sz w:val="24"/>
                <w:szCs w:val="24"/>
                <w:bdr w:val="none" w:color="auto" w:sz="0" w:space="0"/>
                <w:lang w:val="en-US" w:eastAsia="zh-CN" w:bidi="ar"/>
              </w:rPr>
              <w:t xml:space="preserve">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64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77"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61"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default" w:ascii="方正黑体_GBK" w:hAnsi="方正黑体_GBK" w:eastAsia="方正黑体_GBK" w:cs="方正黑体_GBK"/>
                <w:color w:val="333333"/>
                <w:kern w:val="0"/>
                <w:sz w:val="24"/>
                <w:szCs w:val="24"/>
                <w:bdr w:val="none" w:color="auto" w:sz="0" w:space="0"/>
                <w:lang w:val="en-US" w:eastAsia="zh-CN" w:bidi="ar"/>
              </w:rPr>
              <w:t>取消审批</w:t>
            </w:r>
            <w:r>
              <w:rPr>
                <w:rFonts w:hint="eastAsia" w:ascii="宋体" w:hAnsi="宋体" w:eastAsia="宋体" w:cs="宋体"/>
                <w:color w:val="333333"/>
                <w:kern w:val="0"/>
                <w:sz w:val="24"/>
                <w:szCs w:val="24"/>
                <w:bdr w:val="none" w:color="auto" w:sz="0" w:space="0"/>
                <w:lang w:val="en-US" w:eastAsia="zh-CN" w:bidi="ar"/>
              </w:rPr>
              <w:t xml:space="preserve"> </w:t>
            </w:r>
          </w:p>
        </w:tc>
        <w:tc>
          <w:tcPr>
            <w:tcW w:w="2496"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default" w:ascii="方正黑体_GBK" w:hAnsi="方正黑体_GBK" w:eastAsia="方正黑体_GBK" w:cs="方正黑体_GBK"/>
                <w:color w:val="333333"/>
                <w:kern w:val="0"/>
                <w:sz w:val="24"/>
                <w:szCs w:val="24"/>
                <w:bdr w:val="none" w:color="auto" w:sz="0" w:space="0"/>
                <w:lang w:val="en-US" w:eastAsia="zh-CN" w:bidi="ar"/>
              </w:rPr>
              <w:t>保留审批</w:t>
            </w: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64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77"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3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default" w:ascii="方正黑体_GBK" w:hAnsi="方正黑体_GBK" w:eastAsia="方正黑体_GBK" w:cs="方正黑体_GBK"/>
                <w:color w:val="333333"/>
                <w:kern w:val="0"/>
                <w:sz w:val="24"/>
                <w:szCs w:val="24"/>
                <w:bdr w:val="none" w:color="auto" w:sz="0" w:space="0"/>
                <w:lang w:val="en-US" w:eastAsia="zh-CN" w:bidi="ar"/>
              </w:rPr>
              <w:t>直接取消审批</w:t>
            </w:r>
            <w:r>
              <w:rPr>
                <w:rFonts w:hint="eastAsia" w:ascii="宋体" w:hAnsi="宋体" w:eastAsia="宋体" w:cs="宋体"/>
                <w:color w:val="333333"/>
                <w:kern w:val="0"/>
                <w:sz w:val="24"/>
                <w:szCs w:val="24"/>
                <w:bdr w:val="none" w:color="auto" w:sz="0" w:space="0"/>
                <w:lang w:val="en-US" w:eastAsia="zh-CN" w:bidi="ar"/>
              </w:rPr>
              <w:t xml:space="preserve"> </w:t>
            </w:r>
          </w:p>
        </w:tc>
        <w:tc>
          <w:tcPr>
            <w:tcW w:w="7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default" w:ascii="方正黑体_GBK" w:hAnsi="方正黑体_GBK" w:eastAsia="方正黑体_GBK" w:cs="方正黑体_GBK"/>
                <w:color w:val="333333"/>
                <w:kern w:val="0"/>
                <w:sz w:val="24"/>
                <w:szCs w:val="24"/>
                <w:bdr w:val="none" w:color="auto" w:sz="0" w:space="0"/>
                <w:lang w:val="en-US" w:eastAsia="zh-CN" w:bidi="ar"/>
              </w:rPr>
              <w:t>审批改为备案</w:t>
            </w:r>
            <w:r>
              <w:rPr>
                <w:rFonts w:hint="eastAsia" w:ascii="宋体" w:hAnsi="宋体" w:eastAsia="宋体" w:cs="宋体"/>
                <w:color w:val="333333"/>
                <w:kern w:val="0"/>
                <w:sz w:val="24"/>
                <w:szCs w:val="24"/>
                <w:bdr w:val="none" w:color="auto" w:sz="0" w:space="0"/>
                <w:lang w:val="en-US" w:eastAsia="zh-CN" w:bidi="ar"/>
              </w:rPr>
              <w:t xml:space="preserve"> </w:t>
            </w:r>
          </w:p>
        </w:tc>
        <w:tc>
          <w:tcPr>
            <w:tcW w:w="81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default" w:ascii="方正黑体_GBK" w:hAnsi="方正黑体_GBK" w:eastAsia="方正黑体_GBK" w:cs="方正黑体_GBK"/>
                <w:color w:val="333333"/>
                <w:kern w:val="0"/>
                <w:sz w:val="24"/>
                <w:szCs w:val="24"/>
                <w:bdr w:val="none" w:color="auto" w:sz="0" w:space="0"/>
                <w:lang w:val="en-US" w:eastAsia="zh-CN" w:bidi="ar"/>
              </w:rPr>
              <w:t>实行</w:t>
            </w:r>
            <w:r>
              <w:rPr>
                <w:rFonts w:hint="eastAsia" w:ascii="宋体" w:hAnsi="宋体" w:eastAsia="宋体" w:cs="宋体"/>
                <w:color w:val="333333"/>
                <w:kern w:val="0"/>
                <w:sz w:val="24"/>
                <w:szCs w:val="24"/>
                <w:bdr w:val="none" w:color="auto" w:sz="0" w:space="0"/>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default" w:ascii="方正黑体_GBK" w:hAnsi="方正黑体_GBK" w:eastAsia="方正黑体_GBK" w:cs="方正黑体_GBK"/>
                <w:color w:val="333333"/>
                <w:kern w:val="0"/>
                <w:sz w:val="24"/>
                <w:szCs w:val="24"/>
                <w:bdr w:val="none" w:color="auto" w:sz="0" w:space="0"/>
                <w:lang w:val="en-US" w:eastAsia="zh-CN" w:bidi="ar"/>
              </w:rPr>
              <w:t>告知</w:t>
            </w:r>
            <w:r>
              <w:rPr>
                <w:rFonts w:hint="eastAsia" w:ascii="宋体" w:hAnsi="宋体" w:eastAsia="宋体" w:cs="宋体"/>
                <w:color w:val="333333"/>
                <w:kern w:val="0"/>
                <w:sz w:val="24"/>
                <w:szCs w:val="24"/>
                <w:bdr w:val="none" w:color="auto" w:sz="0" w:space="0"/>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default" w:ascii="方正黑体_GBK" w:hAnsi="方正黑体_GBK" w:eastAsia="方正黑体_GBK" w:cs="方正黑体_GBK"/>
                <w:color w:val="333333"/>
                <w:kern w:val="0"/>
                <w:sz w:val="24"/>
                <w:szCs w:val="24"/>
                <w:bdr w:val="none" w:color="auto" w:sz="0" w:space="0"/>
                <w:lang w:val="en-US" w:eastAsia="zh-CN" w:bidi="ar"/>
              </w:rPr>
              <w:t>承诺制</w:t>
            </w:r>
            <w:r>
              <w:rPr>
                <w:rFonts w:hint="eastAsia" w:ascii="宋体" w:hAnsi="宋体" w:eastAsia="宋体" w:cs="宋体"/>
                <w:color w:val="333333"/>
                <w:kern w:val="0"/>
                <w:sz w:val="24"/>
                <w:szCs w:val="24"/>
                <w:bdr w:val="none" w:color="auto" w:sz="0" w:space="0"/>
                <w:lang w:val="en-US" w:eastAsia="zh-CN" w:bidi="ar"/>
              </w:rPr>
              <w:t xml:space="preserve"> </w:t>
            </w: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default" w:ascii="方正黑体_GBK" w:hAnsi="方正黑体_GBK" w:eastAsia="方正黑体_GBK" w:cs="方正黑体_GBK"/>
                <w:color w:val="333333"/>
                <w:kern w:val="0"/>
                <w:sz w:val="24"/>
                <w:szCs w:val="24"/>
                <w:bdr w:val="none" w:color="auto" w:sz="0" w:space="0"/>
                <w:lang w:val="en-US" w:eastAsia="zh-CN" w:bidi="ar"/>
              </w:rPr>
              <w:t>提升透明度和可预期性</w:t>
            </w: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default" w:ascii="方正黑体_GBK" w:hAnsi="方正黑体_GBK" w:eastAsia="方正黑体_GBK" w:cs="方正黑体_GBK"/>
                <w:color w:val="333333"/>
                <w:kern w:val="0"/>
                <w:sz w:val="24"/>
                <w:szCs w:val="24"/>
                <w:bdr w:val="none" w:color="auto" w:sz="0" w:space="0"/>
                <w:lang w:val="en-US" w:eastAsia="zh-CN" w:bidi="ar"/>
              </w:rPr>
              <w:t>强化准入监管</w:t>
            </w: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1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出版物出租经营备案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县级新闻出版广电部门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2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药品广告异地备案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省食品药品监管局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3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放射性药品使用许可（一、二类）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省食品药品监管局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属我省清单事项“放射性药品使用许可”部分内容。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4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因私出入境中介服务机构资格认定（境外就业、留学除外）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省公安厅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5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首次进口非特殊用途化妆品行政许可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食品药品监管总局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6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电影放映单位设立审批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县级新闻出版广电部门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7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外商投资影院电影放映许可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省新闻出版广电局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8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出版物零售经营许可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县级新闻出版广电部门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9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包装装潢印刷品和其他印刷品印刷经营活动企业的设立、变更审批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市级新闻出版广电部门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10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音像制作单位的设立、变更审批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市级新闻出版广电部门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11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电子出版物制作单位设立、变更审批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市级新闻出版广电部门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12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互联网药品信息服务资格许可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省食品药品监管局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13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医疗器械广告审批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省食品药品监管局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属我省清单事项“药品、医疗器械、保健食品广告审批”部分内容。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14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从事城市生活垃圾经营性清扫、收集、运输、处理服务审批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市、县市容环境卫生行政主管部门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15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保安培训单位设立审批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省公安厅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16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公章刻制业特种行业许可证核发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县级公安机关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17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典当业特种行业许可证核发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市级公安机关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18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旅馆业特种行业许可证核发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县级公安机关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19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道路运输站（场）经营许可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县级交通运输部门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20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建筑业企业资质核准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省、市住房城乡建设部门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21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房地产开发企业资质审批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省、市住房城乡建设部门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22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机动车维修经营许可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县级交通运输部门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23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公共场所卫生许可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市、县卫生计生部门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24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中外合作职业技能培训机构设立审批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省人力资源社会保障厅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25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假肢和矫形器（辅助器具）生产装配企业资格认定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市级民政部门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26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水路运输许可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交通运输部、市级交通运输部门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27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港口经营许可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市级交通运输部门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28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经营港口理货业务许可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省交通运输厅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29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机动车驾驶培训业务经营许可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县级交通运输部门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30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道路运输经营许可（客运）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省、市、县交通运输部门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31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货物运输经营许可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县级交通运输部门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32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中外合资经营、中外合作经营演出经纪机构设立审批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文化部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33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营业性演出许可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省文化厅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34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港、澳服务提供者在内地设立互联网上网服务营业场所审批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市、县文化部门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35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拍卖企业经营文物拍卖许可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省文化厅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36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娱乐经营许可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市、县文化部门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37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口岸卫生许可证核发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安徽出入境检验检疫局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38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进出口商品检验鉴定业务的检验许可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质检总局、安徽出入境检验检疫局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39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外商投资旅行社业务许可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省旅游发展委员会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40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国内旅行业务和入境旅游业务经营许可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市级旅游部门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41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会计师事务所执业许可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省财政厅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42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中介机构从事代理记账业务审批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市、县财政部门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43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饲料、饲料添加剂生产企业设立审批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省农委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44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医疗机构设置审批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省、市、县卫生计生部门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45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消毒产品生产企业卫生许可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省、市卫生计生部门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46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从事测绘活动单位资质许可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国家测绘地信局、省国土资源厅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我省清单事项为“从事测绘活动的单位乙、丙、丁级测绘资质审批”。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47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燃气经营许可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市、县住房城乡建设部门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48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经营高危险性体育项目许可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县级体育部门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49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拍卖业务许可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省商务厅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50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粮食收购资格许可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市、县粮食部门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51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养老机构设立许可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省、市、县民政部门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52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保安服务公司设立、变更审批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省公安厅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53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出版物批发经营许可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省新闻出版广电局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54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设立中外合资、合作印刷企业和外商独资包装装潢印刷企业审批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市级新闻出版广电部门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55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融资性担保机构的设立审批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省、市金融部门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56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保险公司变更名称、变更注册资本、变更公司或者分支机构的营业场所、撤销分支机构、公司分立或者合并、修改公司章程、变更出资额占有限责任公司资本总额百分之五以上的股东，或者变更持有股份有限公司股份百分之五以上的股东及保险公司终止（解散、破产）审批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保监会及派出机构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57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石油成品油批发经营资格审批（初审）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省商务厅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属我省清单事项“石油成品油批发、仓储经营资格初审转报”部分内容。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58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石油成品油零售经营资格审批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省商务厅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59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食盐定点生产企业审批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省经济和信息化委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789"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60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电影发行单位设立、变更业务范围或者兼并、合并、分立审批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新闻出版广电总局、省新闻出版广电局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我省清单事项为“省内电影发行单位设立、变更业务范围或者兼并、合并、分立审批”。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61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经营性互联网文化单位设立或变更审批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省文化厅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62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广播电视视频点播业务（乙种）许可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市级新闻出版广电部门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63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化妆品生产许可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省食品药品监管局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64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食品生产许可（乳制品、婴幼儿配方乳粉、白酒、食用酒精、婴幼儿及其他配方谷粉产品、保健食品、食品添加剂生产许可除外）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市级食品药品监管部门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65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食品经营许可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市、县食品药品监管部门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66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药品生产许可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省食品药品监管局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67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药品批发企业经营许可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省食品药品监管局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68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第二类医疗器械产品注册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省食品药品监管局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69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第二类、第三类医疗器械生产许可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省食品药品监管局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70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药品零售企业经营许可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市级食品药品监管部门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71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第三类医疗器械经营许可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市级食品药品监管部门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72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食品生产许可（乳制品、婴幼儿配方乳粉、白酒、食用酒精、婴幼儿及其他配方谷粉产品、保健食品、食品添加剂生产许可）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省食品药品监管局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73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放射性药品使用许可（三、四类）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省食品药品监管局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属我省清单事项“放射性药品使用许可”部分内容。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74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新药生产和上市许可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食品药品监管总局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75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特种设备生产单位许可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质检总局、省质监局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76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车用气瓶安装单位许可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市级质监部门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77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特种设备检验检测机构核准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质检总局、省质监局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我省清单事项为“特种设备检验检测机构（限安全阀校验、两工地起重机械、场（厂）专用机动车辆检验）核准”。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78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气瓶检验站资格认定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省质监局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79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种子生产经营许可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农业部，省、市、县农业部门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80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爆破作业单位许可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省、市公安机关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81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制造、销售弩或营业性射击场开设弩射项目审批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省公安厅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属我省清单事项“弩的制造、销售、进口、运输、使用审批”部分内容。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82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典当行及分支机构设立审批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省商务厅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83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直销企业及其分支机构的设立和变更审批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商务部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84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烟花爆竹批发经营许可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市级安监部门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85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烟花爆竹零售经营许可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县级安监部门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86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危险化学品经营许可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市、县安监部门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87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危险化学品生产企业安全生产许可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安全监管总局、省、市安监部门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88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危险化学品安全使用许可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市级安监部门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89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危险化学品建设项目安全条件审查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省、市安监部门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90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危险货物道路运输经营许可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市级交通运输部门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91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户外广告设施设置审批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市、县市容环境卫生行政主管部门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92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民用爆炸物品销售许可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省国防科工办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93 </w:t>
            </w:r>
          </w:p>
        </w:tc>
        <w:tc>
          <w:tcPr>
            <w:tcW w:w="1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民用爆炸物品安全生产许可 </w:t>
            </w:r>
          </w:p>
        </w:tc>
        <w:tc>
          <w:tcPr>
            <w:tcW w:w="147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left"/>
            </w:pPr>
            <w:r>
              <w:rPr>
                <w:rFonts w:hint="eastAsia" w:ascii="宋体" w:hAnsi="宋体" w:eastAsia="宋体" w:cs="宋体"/>
                <w:color w:val="333333"/>
                <w:kern w:val="0"/>
                <w:sz w:val="24"/>
                <w:szCs w:val="24"/>
                <w:bdr w:val="none" w:color="auto" w:sz="0" w:space="0"/>
                <w:lang w:val="en-US" w:eastAsia="zh-CN" w:bidi="ar"/>
              </w:rPr>
              <w:t xml:space="preserve">省国防科工办 </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2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11"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896"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c>
          <w:tcPr>
            <w:tcW w:w="7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23" w:lineRule="atLeast"/>
              <w:jc w:val="center"/>
            </w:pPr>
            <w:r>
              <w:rPr>
                <w:rFonts w:hint="eastAsia" w:ascii="宋体" w:hAnsi="宋体" w:eastAsia="宋体" w:cs="宋体"/>
                <w:color w:val="333333"/>
                <w:kern w:val="0"/>
                <w:sz w:val="24"/>
                <w:szCs w:val="24"/>
                <w:bdr w:val="none" w:color="auto" w:sz="0" w:space="0"/>
                <w:lang w:val="en-US" w:eastAsia="zh-CN" w:bidi="ar"/>
              </w:rPr>
              <w:t xml:space="preserve">√ </w:t>
            </w:r>
          </w:p>
        </w:tc>
        <w:tc>
          <w:tcPr>
            <w:tcW w:w="1408"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color w:val="333333"/>
                <w:sz w:val="18"/>
                <w:szCs w:val="18"/>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A0000287" w:usb1="28CF3C52" w:usb2="00000016" w:usb3="00000000" w:csb0="0004001F" w:csb1="00000000"/>
  </w:font>
  <w:font w:name="方正黑体_GBK">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EE06FE"/>
    <w:rsid w:val="0F2C2152"/>
    <w:rsid w:val="125C1881"/>
    <w:rsid w:val="17D54171"/>
    <w:rsid w:val="17EB127C"/>
    <w:rsid w:val="18796507"/>
    <w:rsid w:val="22BA2453"/>
    <w:rsid w:val="239E7352"/>
    <w:rsid w:val="2F343C0D"/>
    <w:rsid w:val="378F0C60"/>
    <w:rsid w:val="403B53A8"/>
    <w:rsid w:val="44E16E9B"/>
    <w:rsid w:val="48DE1486"/>
    <w:rsid w:val="4F910273"/>
    <w:rsid w:val="5E761FF1"/>
    <w:rsid w:val="63D070EE"/>
    <w:rsid w:val="6D80217C"/>
    <w:rsid w:val="7E527E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qFormat/>
    <w:uiPriority w:val="0"/>
    <w:rPr>
      <w:rFonts w:hint="eastAsia" w:ascii="宋体" w:hAnsi="宋体" w:eastAsia="宋体" w:cs="宋体"/>
      <w:color w:val="3D3D3D"/>
      <w:u w:val="none"/>
    </w:rPr>
  </w:style>
  <w:style w:type="character" w:styleId="6">
    <w:name w:val="HTML Acronym"/>
    <w:basedOn w:val="3"/>
    <w:uiPriority w:val="0"/>
    <w:rPr>
      <w:bdr w:val="none" w:color="auto" w:sz="0" w:space="0"/>
    </w:rPr>
  </w:style>
  <w:style w:type="character" w:styleId="7">
    <w:name w:val="Hyperlink"/>
    <w:basedOn w:val="3"/>
    <w:qFormat/>
    <w:uiPriority w:val="0"/>
    <w:rPr>
      <w:rFonts w:hint="eastAsia" w:ascii="宋体" w:hAnsi="宋体" w:eastAsia="宋体" w:cs="宋体"/>
      <w:color w:val="3D3D3D"/>
      <w:u w:val="none"/>
    </w:rPr>
  </w:style>
  <w:style w:type="character" w:customStyle="1" w:styleId="9">
    <w:name w:val="font"/>
    <w:basedOn w:val="3"/>
    <w:uiPriority w:val="0"/>
  </w:style>
  <w:style w:type="character" w:customStyle="1" w:styleId="10">
    <w:name w:val="gwds_nopic"/>
    <w:basedOn w:val="3"/>
    <w:uiPriority w:val="0"/>
  </w:style>
  <w:style w:type="character" w:customStyle="1" w:styleId="11">
    <w:name w:val="gwds_nopic1"/>
    <w:basedOn w:val="3"/>
    <w:uiPriority w:val="0"/>
  </w:style>
  <w:style w:type="character" w:customStyle="1" w:styleId="12">
    <w:name w:val="gwds_nopic2"/>
    <w:basedOn w:val="3"/>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甚好</cp:lastModifiedBy>
  <dcterms:modified xsi:type="dcterms:W3CDTF">2018-04-11T08:45:39Z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