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b w:val="0"/>
          <w:i w:val="0"/>
          <w:caps w:val="0"/>
          <w:color w:val="666666"/>
          <w:spacing w:val="0"/>
          <w:sz w:val="18"/>
          <w:szCs w:val="18"/>
        </w:rPr>
      </w:pPr>
      <w:r>
        <w:rPr>
          <w:rFonts w:hint="eastAsia" w:ascii="宋体" w:hAnsi="宋体" w:eastAsia="宋体" w:cs="宋体"/>
          <w:b w:val="0"/>
          <w:i w:val="0"/>
          <w:caps w:val="0"/>
          <w:color w:val="666666"/>
          <w:spacing w:val="0"/>
          <w:sz w:val="18"/>
          <w:szCs w:val="18"/>
          <w:bdr w:val="none" w:color="auto" w:sz="0" w:space="0"/>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b w:val="0"/>
          <w:i w:val="0"/>
          <w:caps w:val="0"/>
          <w:color w:val="666666"/>
          <w:spacing w:val="0"/>
          <w:sz w:val="18"/>
          <w:szCs w:val="18"/>
        </w:rPr>
      </w:pPr>
      <w:r>
        <w:rPr>
          <w:rFonts w:hint="eastAsia" w:ascii="宋体" w:hAnsi="宋体" w:eastAsia="宋体" w:cs="宋体"/>
          <w:b w:val="0"/>
          <w:i w:val="0"/>
          <w:caps w:val="0"/>
          <w:color w:val="666666"/>
          <w:spacing w:val="0"/>
          <w:sz w:val="18"/>
          <w:szCs w:val="18"/>
          <w:bdr w:val="none" w:color="auto" w:sz="0" w:space="0"/>
        </w:rPr>
        <w:t>　　</w:t>
      </w:r>
      <w:bookmarkStart w:id="0" w:name="_GoBack"/>
      <w:r>
        <w:rPr>
          <w:rFonts w:hint="eastAsia" w:ascii="宋体" w:hAnsi="宋体" w:eastAsia="宋体" w:cs="宋体"/>
          <w:b w:val="0"/>
          <w:i w:val="0"/>
          <w:caps w:val="0"/>
          <w:color w:val="666666"/>
          <w:spacing w:val="0"/>
          <w:sz w:val="18"/>
          <w:szCs w:val="18"/>
          <w:bdr w:val="none" w:color="auto" w:sz="0" w:space="0"/>
        </w:rPr>
        <w:t>景县2017年推进“互联网+政务服务”工作任务分解表</w:t>
      </w:r>
    </w:p>
    <w:bookmarkEnd w:id="0"/>
    <w:tbl>
      <w:tblPr>
        <w:tblW w:w="13047" w:type="dxa"/>
        <w:jc w:val="center"/>
        <w:tblInd w:w="45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735"/>
        <w:gridCol w:w="1726"/>
        <w:gridCol w:w="2703"/>
        <w:gridCol w:w="1892"/>
        <w:gridCol w:w="1967"/>
        <w:gridCol w:w="2192"/>
        <w:gridCol w:w="18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735" w:type="dxa"/>
            <w:vMerge w:val="restart"/>
            <w:tcBorders>
              <w:top w:val="single" w:color="auto" w:sz="6" w:space="0"/>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雅黑" w:hAnsi="雅黑" w:eastAsia="雅黑" w:cs="雅黑"/>
                <w:b w:val="0"/>
                <w:i w:val="0"/>
                <w:caps w:val="0"/>
                <w:color w:val="666666"/>
                <w:spacing w:val="0"/>
                <w:sz w:val="18"/>
                <w:szCs w:val="18"/>
                <w:bdr w:val="none" w:color="auto" w:sz="0" w:space="0"/>
              </w:rPr>
              <w:t>序号</w:t>
            </w:r>
          </w:p>
        </w:tc>
        <w:tc>
          <w:tcPr>
            <w:tcW w:w="1726" w:type="dxa"/>
            <w:vMerge w:val="restart"/>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工 作 任 务</w:t>
            </w:r>
          </w:p>
        </w:tc>
        <w:tc>
          <w:tcPr>
            <w:tcW w:w="6562" w:type="dxa"/>
            <w:gridSpan w:val="3"/>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2017年度主要工作任务</w:t>
            </w:r>
          </w:p>
        </w:tc>
        <w:tc>
          <w:tcPr>
            <w:tcW w:w="2192" w:type="dxa"/>
            <w:vMerge w:val="restart"/>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牵头单位</w:t>
            </w:r>
          </w:p>
        </w:tc>
        <w:tc>
          <w:tcPr>
            <w:tcW w:w="1832" w:type="dxa"/>
            <w:vMerge w:val="restart"/>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责任单位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735" w:type="dxa"/>
            <w:vMerge w:val="continue"/>
            <w:tcBorders>
              <w:top w:val="single" w:color="auto" w:sz="6" w:space="0"/>
              <w:left w:val="single" w:color="auto" w:sz="6" w:space="0"/>
              <w:bottom w:val="single" w:color="auto" w:sz="6" w:space="0"/>
              <w:right w:val="single" w:color="auto" w:sz="6" w:space="0"/>
            </w:tcBorders>
            <w:shd w:val="clear"/>
            <w:vAlign w:val="center"/>
          </w:tcPr>
          <w:p>
            <w:pPr>
              <w:rPr>
                <w:rFonts w:hint="default" w:ascii="雅黑" w:hAnsi="雅黑" w:eastAsia="雅黑" w:cs="雅黑"/>
                <w:b w:val="0"/>
                <w:i w:val="0"/>
                <w:caps w:val="0"/>
                <w:color w:val="666666"/>
                <w:spacing w:val="0"/>
                <w:sz w:val="18"/>
                <w:szCs w:val="18"/>
              </w:rPr>
            </w:pPr>
          </w:p>
        </w:tc>
        <w:tc>
          <w:tcPr>
            <w:tcW w:w="1726" w:type="dxa"/>
            <w:vMerge w:val="continue"/>
            <w:tcBorders>
              <w:top w:val="single" w:color="auto" w:sz="6" w:space="0"/>
              <w:left w:val="nil"/>
              <w:bottom w:val="single" w:color="auto" w:sz="6" w:space="0"/>
              <w:right w:val="single" w:color="auto" w:sz="6" w:space="0"/>
            </w:tcBorders>
            <w:shd w:val="clear"/>
            <w:vAlign w:val="center"/>
          </w:tcPr>
          <w:p>
            <w:pPr>
              <w:rPr>
                <w:rFonts w:hint="default" w:ascii="雅黑" w:hAnsi="雅黑" w:eastAsia="雅黑" w:cs="雅黑"/>
                <w:b w:val="0"/>
                <w:i w:val="0"/>
                <w:caps w:val="0"/>
                <w:color w:val="666666"/>
                <w:spacing w:val="0"/>
                <w:sz w:val="18"/>
                <w:szCs w:val="18"/>
              </w:rPr>
            </w:pPr>
          </w:p>
        </w:tc>
        <w:tc>
          <w:tcPr>
            <w:tcW w:w="2703"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二季度</w:t>
            </w:r>
          </w:p>
        </w:tc>
        <w:tc>
          <w:tcPr>
            <w:tcW w:w="1892"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三季度</w:t>
            </w:r>
          </w:p>
        </w:tc>
        <w:tc>
          <w:tcPr>
            <w:tcW w:w="1967"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四季度</w:t>
            </w:r>
          </w:p>
        </w:tc>
        <w:tc>
          <w:tcPr>
            <w:tcW w:w="2192" w:type="dxa"/>
            <w:vMerge w:val="continue"/>
            <w:tcBorders>
              <w:top w:val="single" w:color="auto" w:sz="6" w:space="0"/>
              <w:left w:val="nil"/>
              <w:bottom w:val="single" w:color="auto" w:sz="6" w:space="0"/>
              <w:right w:val="single" w:color="auto" w:sz="6" w:space="0"/>
            </w:tcBorders>
            <w:shd w:val="clear"/>
            <w:vAlign w:val="center"/>
          </w:tcPr>
          <w:p>
            <w:pPr>
              <w:rPr>
                <w:rFonts w:hint="default" w:ascii="雅黑" w:hAnsi="雅黑" w:eastAsia="雅黑" w:cs="雅黑"/>
                <w:b w:val="0"/>
                <w:i w:val="0"/>
                <w:caps w:val="0"/>
                <w:color w:val="666666"/>
                <w:spacing w:val="0"/>
                <w:sz w:val="18"/>
                <w:szCs w:val="18"/>
              </w:rPr>
            </w:pPr>
          </w:p>
        </w:tc>
        <w:tc>
          <w:tcPr>
            <w:tcW w:w="1832" w:type="dxa"/>
            <w:vMerge w:val="continue"/>
            <w:tcBorders>
              <w:top w:val="single" w:color="auto" w:sz="6" w:space="0"/>
              <w:left w:val="nil"/>
              <w:bottom w:val="single" w:color="auto" w:sz="6" w:space="0"/>
              <w:right w:val="single" w:color="auto" w:sz="6" w:space="0"/>
            </w:tcBorders>
            <w:shd w:val="clear"/>
            <w:vAlign w:val="center"/>
          </w:tcPr>
          <w:p>
            <w:pPr>
              <w:rPr>
                <w:rFonts w:hint="default" w:ascii="雅黑" w:hAnsi="雅黑" w:eastAsia="雅黑" w:cs="雅黑"/>
                <w:b w:val="0"/>
                <w:i w:val="0"/>
                <w:caps w:val="0"/>
                <w:color w:val="666666"/>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735"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1</w:t>
            </w:r>
          </w:p>
        </w:tc>
        <w:tc>
          <w:tcPr>
            <w:tcW w:w="1726"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全面梳理规范网上政务服务事项</w:t>
            </w:r>
          </w:p>
        </w:tc>
        <w:tc>
          <w:tcPr>
            <w:tcW w:w="2703"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推进网上政务服务事项编码和办事指南规范完善工作</w:t>
            </w:r>
          </w:p>
        </w:tc>
        <w:tc>
          <w:tcPr>
            <w:tcW w:w="1892"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完成政务服务事项编码和办事指南规范完善工作,并向社会公开发布</w:t>
            </w:r>
          </w:p>
        </w:tc>
        <w:tc>
          <w:tcPr>
            <w:tcW w:w="1967"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实时更新,动态管理</w:t>
            </w:r>
          </w:p>
        </w:tc>
        <w:tc>
          <w:tcPr>
            <w:tcW w:w="2192"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县编委办</w:t>
            </w:r>
          </w:p>
        </w:tc>
        <w:tc>
          <w:tcPr>
            <w:tcW w:w="1832"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各乡镇人民政府，县高新区，直各部门、相关单位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735"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2</w:t>
            </w:r>
          </w:p>
        </w:tc>
        <w:tc>
          <w:tcPr>
            <w:tcW w:w="1726"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优化规范网上政务服务流程</w:t>
            </w:r>
          </w:p>
        </w:tc>
        <w:tc>
          <w:tcPr>
            <w:tcW w:w="2703"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推进网上政务服务事项办理流程优化工作</w:t>
            </w:r>
          </w:p>
        </w:tc>
        <w:tc>
          <w:tcPr>
            <w:tcW w:w="1892"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完成网上政务服务事项办理流程优化工作</w:t>
            </w:r>
          </w:p>
        </w:tc>
        <w:tc>
          <w:tcPr>
            <w:tcW w:w="1967"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根据政务服务事项网上办理的需要,持续开展优化、完善工作</w:t>
            </w:r>
          </w:p>
        </w:tc>
        <w:tc>
          <w:tcPr>
            <w:tcW w:w="2192"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县编委办、县工业和信息化局、县发改局、县质监局、县行政审批局</w:t>
            </w:r>
          </w:p>
        </w:tc>
        <w:tc>
          <w:tcPr>
            <w:tcW w:w="1832"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各乡镇人民政府，县高新区、县直各部门、相关单位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735"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3</w:t>
            </w:r>
          </w:p>
        </w:tc>
        <w:tc>
          <w:tcPr>
            <w:tcW w:w="1726"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推进政务服务事项网上办理</w:t>
            </w:r>
          </w:p>
        </w:tc>
        <w:tc>
          <w:tcPr>
            <w:tcW w:w="2703"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先行梳理与企业、群众生产生活密切相关的政务服务事项,逐步纳入网上办理逐步扩大政务服务事项网上办理覆盖面</w:t>
            </w:r>
          </w:p>
        </w:tc>
        <w:tc>
          <w:tcPr>
            <w:tcW w:w="1892"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逐步扩大政务服务事项网上办理覆盖面</w:t>
            </w:r>
          </w:p>
        </w:tc>
        <w:tc>
          <w:tcPr>
            <w:tcW w:w="1967"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在部分乡镇、部门率先实现一定比率的政务服务事项网上办理</w:t>
            </w:r>
          </w:p>
        </w:tc>
        <w:tc>
          <w:tcPr>
            <w:tcW w:w="2192"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县政府办公室</w:t>
            </w:r>
          </w:p>
        </w:tc>
        <w:tc>
          <w:tcPr>
            <w:tcW w:w="1832"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各乡镇人民政府，县高新区，县直各部门、相关单位</w:t>
            </w:r>
          </w:p>
        </w:tc>
      </w:tr>
    </w:tbl>
    <w:p>
      <w:pPr>
        <w:rPr>
          <w:vanish/>
          <w:sz w:val="24"/>
          <w:szCs w:val="24"/>
        </w:rPr>
      </w:pPr>
    </w:p>
    <w:tbl>
      <w:tblPr>
        <w:tblW w:w="13064" w:type="dxa"/>
        <w:jc w:val="center"/>
        <w:tblInd w:w="44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735"/>
        <w:gridCol w:w="1530"/>
        <w:gridCol w:w="3195"/>
        <w:gridCol w:w="899"/>
        <w:gridCol w:w="1095"/>
        <w:gridCol w:w="2085"/>
        <w:gridCol w:w="1695"/>
        <w:gridCol w:w="18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35" w:type="dxa"/>
            <w:vMerge w:val="restart"/>
            <w:tcBorders>
              <w:top w:val="single" w:color="auto" w:sz="6" w:space="0"/>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序号</w:t>
            </w:r>
          </w:p>
        </w:tc>
        <w:tc>
          <w:tcPr>
            <w:tcW w:w="1530" w:type="dxa"/>
            <w:vMerge w:val="restart"/>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工 作 任 务</w:t>
            </w:r>
          </w:p>
        </w:tc>
        <w:tc>
          <w:tcPr>
            <w:tcW w:w="7274" w:type="dxa"/>
            <w:gridSpan w:val="4"/>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2017年度主要工作任务</w:t>
            </w:r>
          </w:p>
        </w:tc>
        <w:tc>
          <w:tcPr>
            <w:tcW w:w="1695" w:type="dxa"/>
            <w:vMerge w:val="restart"/>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牵头单位</w:t>
            </w:r>
          </w:p>
        </w:tc>
        <w:tc>
          <w:tcPr>
            <w:tcW w:w="1830" w:type="dxa"/>
            <w:vMerge w:val="restart"/>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责任单位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735" w:type="dxa"/>
            <w:vMerge w:val="continue"/>
            <w:tcBorders>
              <w:top w:val="single" w:color="auto" w:sz="6" w:space="0"/>
              <w:left w:val="single" w:color="auto" w:sz="6" w:space="0"/>
              <w:bottom w:val="single" w:color="auto" w:sz="6" w:space="0"/>
              <w:right w:val="single" w:color="auto" w:sz="6" w:space="0"/>
            </w:tcBorders>
            <w:shd w:val="clear"/>
            <w:vAlign w:val="center"/>
          </w:tcPr>
          <w:p>
            <w:pPr>
              <w:rPr>
                <w:rFonts w:hint="default" w:ascii="雅黑" w:hAnsi="雅黑" w:eastAsia="雅黑" w:cs="雅黑"/>
                <w:b w:val="0"/>
                <w:i w:val="0"/>
                <w:caps w:val="0"/>
                <w:color w:val="666666"/>
                <w:spacing w:val="0"/>
                <w:sz w:val="18"/>
                <w:szCs w:val="18"/>
              </w:rPr>
            </w:pPr>
          </w:p>
        </w:tc>
        <w:tc>
          <w:tcPr>
            <w:tcW w:w="1530" w:type="dxa"/>
            <w:vMerge w:val="continue"/>
            <w:tcBorders>
              <w:top w:val="single" w:color="auto" w:sz="6" w:space="0"/>
              <w:left w:val="nil"/>
              <w:bottom w:val="single" w:color="auto" w:sz="6" w:space="0"/>
              <w:right w:val="single" w:color="auto" w:sz="6" w:space="0"/>
            </w:tcBorders>
            <w:shd w:val="clear"/>
            <w:vAlign w:val="center"/>
          </w:tcPr>
          <w:p>
            <w:pPr>
              <w:rPr>
                <w:rFonts w:hint="default" w:ascii="雅黑" w:hAnsi="雅黑" w:eastAsia="雅黑" w:cs="雅黑"/>
                <w:b w:val="0"/>
                <w:i w:val="0"/>
                <w:caps w:val="0"/>
                <w:color w:val="666666"/>
                <w:spacing w:val="0"/>
                <w:sz w:val="18"/>
                <w:szCs w:val="18"/>
              </w:rPr>
            </w:pPr>
          </w:p>
        </w:tc>
        <w:tc>
          <w:tcPr>
            <w:tcW w:w="319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二季度</w:t>
            </w:r>
          </w:p>
        </w:tc>
        <w:tc>
          <w:tcPr>
            <w:tcW w:w="1994"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三季度</w:t>
            </w:r>
          </w:p>
        </w:tc>
        <w:tc>
          <w:tcPr>
            <w:tcW w:w="208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四季度</w:t>
            </w:r>
          </w:p>
        </w:tc>
        <w:tc>
          <w:tcPr>
            <w:tcW w:w="1695" w:type="dxa"/>
            <w:vMerge w:val="continue"/>
            <w:tcBorders>
              <w:top w:val="single" w:color="auto" w:sz="6" w:space="0"/>
              <w:left w:val="nil"/>
              <w:bottom w:val="single" w:color="auto" w:sz="6" w:space="0"/>
              <w:right w:val="single" w:color="auto" w:sz="6" w:space="0"/>
            </w:tcBorders>
            <w:shd w:val="clear"/>
            <w:vAlign w:val="center"/>
          </w:tcPr>
          <w:p>
            <w:pPr>
              <w:rPr>
                <w:rFonts w:hint="default" w:ascii="雅黑" w:hAnsi="雅黑" w:eastAsia="雅黑" w:cs="雅黑"/>
                <w:b w:val="0"/>
                <w:i w:val="0"/>
                <w:caps w:val="0"/>
                <w:color w:val="666666"/>
                <w:spacing w:val="0"/>
                <w:sz w:val="18"/>
                <w:szCs w:val="18"/>
              </w:rPr>
            </w:pPr>
          </w:p>
        </w:tc>
        <w:tc>
          <w:tcPr>
            <w:tcW w:w="1830" w:type="dxa"/>
            <w:vMerge w:val="continue"/>
            <w:tcBorders>
              <w:top w:val="single" w:color="auto" w:sz="6" w:space="0"/>
              <w:left w:val="nil"/>
              <w:bottom w:val="single" w:color="auto" w:sz="6" w:space="0"/>
              <w:right w:val="single" w:color="auto" w:sz="6" w:space="0"/>
            </w:tcBorders>
            <w:shd w:val="clear"/>
            <w:vAlign w:val="center"/>
          </w:tcPr>
          <w:p>
            <w:pPr>
              <w:rPr>
                <w:rFonts w:hint="default" w:ascii="雅黑" w:hAnsi="雅黑" w:eastAsia="雅黑" w:cs="雅黑"/>
                <w:b w:val="0"/>
                <w:i w:val="0"/>
                <w:caps w:val="0"/>
                <w:color w:val="666666"/>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735"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4</w:t>
            </w:r>
          </w:p>
        </w:tc>
        <w:tc>
          <w:tcPr>
            <w:tcW w:w="153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创新网上政务服务模式</w:t>
            </w:r>
          </w:p>
        </w:tc>
        <w:tc>
          <w:tcPr>
            <w:tcW w:w="319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启动网上政务服务资源和数据有序开放；推进全县电子证照批文库的建设与应用；引入第三方提供网上服务等工作</w:t>
            </w:r>
          </w:p>
        </w:tc>
        <w:tc>
          <w:tcPr>
            <w:tcW w:w="1994"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持续推进</w:t>
            </w:r>
          </w:p>
        </w:tc>
        <w:tc>
          <w:tcPr>
            <w:tcW w:w="208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率先在利用第三方平台开展服务方面取得进展</w:t>
            </w:r>
          </w:p>
        </w:tc>
        <w:tc>
          <w:tcPr>
            <w:tcW w:w="169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县工业和信息化局、县行政审批局</w:t>
            </w:r>
          </w:p>
        </w:tc>
        <w:tc>
          <w:tcPr>
            <w:tcW w:w="183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各乡镇人民政府，县高新区，县直各部门、相关单位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735"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5</w:t>
            </w:r>
          </w:p>
        </w:tc>
        <w:tc>
          <w:tcPr>
            <w:tcW w:w="153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全面公开政务服务信息</w:t>
            </w:r>
          </w:p>
        </w:tc>
        <w:tc>
          <w:tcPr>
            <w:tcW w:w="319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启动政务服务信息公开发布标准、内容、要求的规范工作,持续推动公开发布召开政务服务信息公开发布工作交流会,相互学习借鉴,更好推动工作开展</w:t>
            </w:r>
          </w:p>
        </w:tc>
        <w:tc>
          <w:tcPr>
            <w:tcW w:w="1994"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持续推进</w:t>
            </w:r>
          </w:p>
        </w:tc>
        <w:tc>
          <w:tcPr>
            <w:tcW w:w="208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开展政务服务信息公开发布工作专项督导检查,发现问题,总结经验,对下一年度工作进行研究部署</w:t>
            </w:r>
          </w:p>
        </w:tc>
        <w:tc>
          <w:tcPr>
            <w:tcW w:w="169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县编委办、县行政审批局</w:t>
            </w:r>
          </w:p>
        </w:tc>
        <w:tc>
          <w:tcPr>
            <w:tcW w:w="183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各乡镇人民政府，县高新区，县直各部门、相关单位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35"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6</w:t>
            </w:r>
          </w:p>
        </w:tc>
        <w:tc>
          <w:tcPr>
            <w:tcW w:w="153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建设全市县“一张网”的网上政务服务平台</w:t>
            </w:r>
          </w:p>
        </w:tc>
        <w:tc>
          <w:tcPr>
            <w:tcW w:w="319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完成全市“互联网+政务服务”技术平台建设方案的设计工作 并落实建设资金;做好项目招标前期准备工作</w:t>
            </w:r>
          </w:p>
        </w:tc>
        <w:tc>
          <w:tcPr>
            <w:tcW w:w="1994"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完成项目招标工作,启动项目建设和政务外网的升级改造工作</w:t>
            </w:r>
          </w:p>
        </w:tc>
        <w:tc>
          <w:tcPr>
            <w:tcW w:w="208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建成全县一体化的网上政务服务平台,并上线试运行</w:t>
            </w:r>
          </w:p>
        </w:tc>
        <w:tc>
          <w:tcPr>
            <w:tcW w:w="169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县行政审批局</w:t>
            </w:r>
          </w:p>
        </w:tc>
        <w:tc>
          <w:tcPr>
            <w:tcW w:w="183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各乡镇人民政府，县高新区，县直各部门、相关单位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35"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7</w:t>
            </w:r>
          </w:p>
        </w:tc>
        <w:tc>
          <w:tcPr>
            <w:tcW w:w="153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推动线上线下政务服务体系创新融合</w:t>
            </w:r>
          </w:p>
        </w:tc>
        <w:tc>
          <w:tcPr>
            <w:tcW w:w="319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推进县乡两级行政审批大厅设施和功能完善工作；形成政务服务管理体制和运行机制</w:t>
            </w:r>
          </w:p>
        </w:tc>
        <w:tc>
          <w:tcPr>
            <w:tcW w:w="1994"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完善县乡两级行政审批大厅设施和功能，推进实体大厅与网上平台的系统整合</w:t>
            </w:r>
          </w:p>
        </w:tc>
        <w:tc>
          <w:tcPr>
            <w:tcW w:w="208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开展县乡两级工作专项督查</w:t>
            </w:r>
          </w:p>
        </w:tc>
        <w:tc>
          <w:tcPr>
            <w:tcW w:w="169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县行政审批局</w:t>
            </w:r>
          </w:p>
        </w:tc>
        <w:tc>
          <w:tcPr>
            <w:tcW w:w="183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各乡镇人民政府，县高新区，县直各部门、相关单位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35"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c>
          <w:tcPr>
            <w:tcW w:w="1530"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c>
          <w:tcPr>
            <w:tcW w:w="3195"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c>
          <w:tcPr>
            <w:tcW w:w="899"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c>
          <w:tcPr>
            <w:tcW w:w="1095"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c>
          <w:tcPr>
            <w:tcW w:w="2085"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c>
          <w:tcPr>
            <w:tcW w:w="1695"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c>
          <w:tcPr>
            <w:tcW w:w="1830"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r>
    </w:tbl>
    <w:p>
      <w:pPr>
        <w:rPr>
          <w:vanish/>
          <w:sz w:val="24"/>
          <w:szCs w:val="24"/>
        </w:rPr>
      </w:pPr>
    </w:p>
    <w:tbl>
      <w:tblPr>
        <w:tblW w:w="13185" w:type="dxa"/>
        <w:jc w:val="center"/>
        <w:tblInd w:w="38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795"/>
        <w:gridCol w:w="2010"/>
        <w:gridCol w:w="3090"/>
        <w:gridCol w:w="2130"/>
        <w:gridCol w:w="1995"/>
        <w:gridCol w:w="1575"/>
        <w:gridCol w:w="15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jc w:val="center"/>
        </w:trPr>
        <w:tc>
          <w:tcPr>
            <w:tcW w:w="795" w:type="dxa"/>
            <w:vMerge w:val="restart"/>
            <w:tcBorders>
              <w:top w:val="single" w:color="auto" w:sz="6" w:space="0"/>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序号</w:t>
            </w:r>
          </w:p>
        </w:tc>
        <w:tc>
          <w:tcPr>
            <w:tcW w:w="2010" w:type="dxa"/>
            <w:vMerge w:val="restart"/>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工 作 任 务</w:t>
            </w:r>
          </w:p>
        </w:tc>
        <w:tc>
          <w:tcPr>
            <w:tcW w:w="7215" w:type="dxa"/>
            <w:gridSpan w:val="3"/>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2017年度主要工作任务</w:t>
            </w:r>
          </w:p>
        </w:tc>
        <w:tc>
          <w:tcPr>
            <w:tcW w:w="1575" w:type="dxa"/>
            <w:vMerge w:val="restart"/>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牵头单位</w:t>
            </w:r>
          </w:p>
        </w:tc>
        <w:tc>
          <w:tcPr>
            <w:tcW w:w="1590" w:type="dxa"/>
            <w:vMerge w:val="restart"/>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责任单位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95" w:type="dxa"/>
            <w:vMerge w:val="continue"/>
            <w:tcBorders>
              <w:top w:val="single" w:color="auto" w:sz="6" w:space="0"/>
              <w:left w:val="single" w:color="auto" w:sz="6" w:space="0"/>
              <w:bottom w:val="single" w:color="auto" w:sz="6" w:space="0"/>
              <w:right w:val="single" w:color="auto" w:sz="6" w:space="0"/>
            </w:tcBorders>
            <w:shd w:val="clear"/>
            <w:vAlign w:val="center"/>
          </w:tcPr>
          <w:p>
            <w:pPr>
              <w:rPr>
                <w:rFonts w:hint="default" w:ascii="雅黑" w:hAnsi="雅黑" w:eastAsia="雅黑" w:cs="雅黑"/>
                <w:b w:val="0"/>
                <w:i w:val="0"/>
                <w:caps w:val="0"/>
                <w:color w:val="666666"/>
                <w:spacing w:val="0"/>
                <w:sz w:val="18"/>
                <w:szCs w:val="18"/>
              </w:rPr>
            </w:pPr>
          </w:p>
        </w:tc>
        <w:tc>
          <w:tcPr>
            <w:tcW w:w="2010" w:type="dxa"/>
            <w:vMerge w:val="continue"/>
            <w:tcBorders>
              <w:top w:val="single" w:color="auto" w:sz="6" w:space="0"/>
              <w:left w:val="nil"/>
              <w:bottom w:val="single" w:color="auto" w:sz="6" w:space="0"/>
              <w:right w:val="single" w:color="auto" w:sz="6" w:space="0"/>
            </w:tcBorders>
            <w:shd w:val="clear"/>
            <w:vAlign w:val="center"/>
          </w:tcPr>
          <w:p>
            <w:pPr>
              <w:rPr>
                <w:rFonts w:hint="default" w:ascii="雅黑" w:hAnsi="雅黑" w:eastAsia="雅黑" w:cs="雅黑"/>
                <w:b w:val="0"/>
                <w:i w:val="0"/>
                <w:caps w:val="0"/>
                <w:color w:val="666666"/>
                <w:spacing w:val="0"/>
                <w:sz w:val="18"/>
                <w:szCs w:val="18"/>
              </w:rPr>
            </w:pPr>
          </w:p>
        </w:tc>
        <w:tc>
          <w:tcPr>
            <w:tcW w:w="309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二季度</w:t>
            </w:r>
          </w:p>
        </w:tc>
        <w:tc>
          <w:tcPr>
            <w:tcW w:w="213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三季度</w:t>
            </w:r>
          </w:p>
        </w:tc>
        <w:tc>
          <w:tcPr>
            <w:tcW w:w="199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四季度</w:t>
            </w:r>
          </w:p>
        </w:tc>
        <w:tc>
          <w:tcPr>
            <w:tcW w:w="1575" w:type="dxa"/>
            <w:vMerge w:val="continue"/>
            <w:tcBorders>
              <w:top w:val="single" w:color="auto" w:sz="6" w:space="0"/>
              <w:left w:val="nil"/>
              <w:bottom w:val="single" w:color="auto" w:sz="6" w:space="0"/>
              <w:right w:val="single" w:color="auto" w:sz="6" w:space="0"/>
            </w:tcBorders>
            <w:shd w:val="clear"/>
            <w:vAlign w:val="center"/>
          </w:tcPr>
          <w:p>
            <w:pPr>
              <w:rPr>
                <w:rFonts w:hint="default" w:ascii="雅黑" w:hAnsi="雅黑" w:eastAsia="雅黑" w:cs="雅黑"/>
                <w:b w:val="0"/>
                <w:i w:val="0"/>
                <w:caps w:val="0"/>
                <w:color w:val="666666"/>
                <w:spacing w:val="0"/>
                <w:sz w:val="18"/>
                <w:szCs w:val="18"/>
              </w:rPr>
            </w:pPr>
          </w:p>
        </w:tc>
        <w:tc>
          <w:tcPr>
            <w:tcW w:w="1590" w:type="dxa"/>
            <w:vMerge w:val="continue"/>
            <w:tcBorders>
              <w:top w:val="single" w:color="auto" w:sz="6" w:space="0"/>
              <w:left w:val="nil"/>
              <w:bottom w:val="single" w:color="auto" w:sz="6" w:space="0"/>
              <w:right w:val="single" w:color="auto" w:sz="6" w:space="0"/>
            </w:tcBorders>
            <w:shd w:val="clear"/>
            <w:vAlign w:val="center"/>
          </w:tcPr>
          <w:p>
            <w:pPr>
              <w:rPr>
                <w:rFonts w:hint="default" w:ascii="雅黑" w:hAnsi="雅黑" w:eastAsia="雅黑" w:cs="雅黑"/>
                <w:b w:val="0"/>
                <w:i w:val="0"/>
                <w:caps w:val="0"/>
                <w:color w:val="666666"/>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795"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8</w:t>
            </w:r>
          </w:p>
        </w:tc>
        <w:tc>
          <w:tcPr>
            <w:tcW w:w="201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推动基层政务服务网点与网上平台无缝对接</w:t>
            </w:r>
          </w:p>
        </w:tc>
        <w:tc>
          <w:tcPr>
            <w:tcW w:w="309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推广沧州市肃宁县的县、乡、村“三级网上审批便民服务平台”经验，重点在县乡推进基层政务服务网点与网上平台对接工作</w:t>
            </w:r>
          </w:p>
        </w:tc>
        <w:tc>
          <w:tcPr>
            <w:tcW w:w="213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召开基层政务服务网点与网上平台对接工作交流会,进一步加强和改进工作</w:t>
            </w:r>
          </w:p>
        </w:tc>
        <w:tc>
          <w:tcPr>
            <w:tcW w:w="199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对基层政务服务网点与网上平台对接工作进行总结,为下一年度全面推广做好准备</w:t>
            </w:r>
          </w:p>
        </w:tc>
        <w:tc>
          <w:tcPr>
            <w:tcW w:w="157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县政府办公室</w:t>
            </w:r>
          </w:p>
        </w:tc>
        <w:tc>
          <w:tcPr>
            <w:tcW w:w="159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各乡镇人民政府，县高新区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795"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9</w:t>
            </w:r>
          </w:p>
        </w:tc>
        <w:tc>
          <w:tcPr>
            <w:tcW w:w="201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建设政务服务数据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共享交换平台体系</w:t>
            </w:r>
          </w:p>
        </w:tc>
        <w:tc>
          <w:tcPr>
            <w:tcW w:w="309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完善人口、法人、地理信息等基础数据库的基础上，建设覆盖全省的政务服务数据共享交换平台和统一信息主要共享目录工作持续推进</w:t>
            </w:r>
          </w:p>
        </w:tc>
        <w:tc>
          <w:tcPr>
            <w:tcW w:w="213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持续推进</w:t>
            </w:r>
          </w:p>
        </w:tc>
        <w:tc>
          <w:tcPr>
            <w:tcW w:w="199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实现县级平台与省市平台及基础数据库和业务数据库的互联互通</w:t>
            </w:r>
          </w:p>
        </w:tc>
        <w:tc>
          <w:tcPr>
            <w:tcW w:w="157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县工业和信息化局、县发改局</w:t>
            </w:r>
          </w:p>
        </w:tc>
        <w:tc>
          <w:tcPr>
            <w:tcW w:w="159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各乡镇人民政府，县高新区，县直各部门、相关单位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795" w:type="dxa"/>
            <w:tcBorders>
              <w:top w:val="nil"/>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10</w:t>
            </w:r>
          </w:p>
        </w:tc>
        <w:tc>
          <w:tcPr>
            <w:tcW w:w="2010"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加快建设市县统一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的电子证照库</w:t>
            </w:r>
          </w:p>
        </w:tc>
        <w:tc>
          <w:tcPr>
            <w:tcW w:w="3090" w:type="dxa"/>
            <w:tcBorders>
              <w:top w:val="nil"/>
              <w:left w:val="nil"/>
              <w:bottom w:val="single" w:color="000000"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推进覆盖全县的电子证照库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建设工作</w:t>
            </w:r>
          </w:p>
        </w:tc>
        <w:tc>
          <w:tcPr>
            <w:tcW w:w="2130"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持续推进</w:t>
            </w:r>
          </w:p>
        </w:tc>
        <w:tc>
          <w:tcPr>
            <w:tcW w:w="1995"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对年度工作进行总结,研究提出下一年度工作重点和工作措施</w:t>
            </w:r>
          </w:p>
        </w:tc>
        <w:tc>
          <w:tcPr>
            <w:tcW w:w="1575"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县工业和信息化局、县行政审批局</w:t>
            </w:r>
          </w:p>
        </w:tc>
        <w:tc>
          <w:tcPr>
            <w:tcW w:w="1590"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各乡镇人民政府，县高新区，县直各部门、相关单位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795" w:type="dxa"/>
            <w:tcBorders>
              <w:top w:val="nil"/>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11</w:t>
            </w:r>
          </w:p>
        </w:tc>
        <w:tc>
          <w:tcPr>
            <w:tcW w:w="2010"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提升电子政务外网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承载能力</w:t>
            </w:r>
          </w:p>
        </w:tc>
        <w:tc>
          <w:tcPr>
            <w:tcW w:w="3090" w:type="dxa"/>
            <w:tcBorders>
              <w:top w:val="nil"/>
              <w:left w:val="nil"/>
              <w:bottom w:val="single" w:color="000000"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按照国家标准和市统一规划,启动全县电子政务外网承载能力提升工作，并做好电子政务外网覆盖面拓展工作</w:t>
            </w:r>
          </w:p>
        </w:tc>
        <w:tc>
          <w:tcPr>
            <w:tcW w:w="2130"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做好电子政务外网覆盖面拓展工作;启动各部门业务专网整合工作</w:t>
            </w:r>
          </w:p>
        </w:tc>
        <w:tc>
          <w:tcPr>
            <w:tcW w:w="1995"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实现电子政务外网对纳入市网上政务服务平台的政府部门的全覆盖</w:t>
            </w:r>
          </w:p>
        </w:tc>
        <w:tc>
          <w:tcPr>
            <w:tcW w:w="1575"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县政府办公室</w:t>
            </w:r>
          </w:p>
        </w:tc>
        <w:tc>
          <w:tcPr>
            <w:tcW w:w="1590"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各乡镇人民政府，县高新区，县直各部门、相关单位</w:t>
            </w:r>
          </w:p>
        </w:tc>
      </w:tr>
    </w:tbl>
    <w:p>
      <w:pPr>
        <w:rPr>
          <w:vanish/>
          <w:sz w:val="24"/>
          <w:szCs w:val="24"/>
        </w:rPr>
      </w:pPr>
    </w:p>
    <w:tbl>
      <w:tblPr>
        <w:tblW w:w="13585" w:type="dxa"/>
        <w:jc w:val="center"/>
        <w:tblInd w:w="18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997"/>
        <w:gridCol w:w="2008"/>
        <w:gridCol w:w="3035"/>
        <w:gridCol w:w="1816"/>
        <w:gridCol w:w="89"/>
        <w:gridCol w:w="297"/>
        <w:gridCol w:w="1890"/>
        <w:gridCol w:w="89"/>
        <w:gridCol w:w="1519"/>
        <w:gridCol w:w="89"/>
        <w:gridCol w:w="1667"/>
        <w:gridCol w:w="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997" w:type="dxa"/>
            <w:vMerge w:val="restart"/>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序号</w:t>
            </w:r>
          </w:p>
        </w:tc>
        <w:tc>
          <w:tcPr>
            <w:tcW w:w="2008" w:type="dxa"/>
            <w:vMerge w:val="restart"/>
            <w:tcBorders>
              <w:top w:val="single" w:color="000000" w:sz="6" w:space="0"/>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工 作 任 务</w:t>
            </w:r>
          </w:p>
        </w:tc>
        <w:tc>
          <w:tcPr>
            <w:tcW w:w="7127" w:type="dxa"/>
            <w:gridSpan w:val="5"/>
            <w:tcBorders>
              <w:top w:val="single" w:color="000000" w:sz="6" w:space="0"/>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2017年度主要工作任务</w:t>
            </w:r>
          </w:p>
        </w:tc>
        <w:tc>
          <w:tcPr>
            <w:tcW w:w="1608" w:type="dxa"/>
            <w:gridSpan w:val="2"/>
            <w:vMerge w:val="restart"/>
            <w:tcBorders>
              <w:top w:val="single" w:color="000000" w:sz="6" w:space="0"/>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牵头单位</w:t>
            </w:r>
          </w:p>
        </w:tc>
        <w:tc>
          <w:tcPr>
            <w:tcW w:w="1756" w:type="dxa"/>
            <w:gridSpan w:val="2"/>
            <w:vMerge w:val="restart"/>
            <w:tcBorders>
              <w:top w:val="single" w:color="000000" w:sz="6" w:space="0"/>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责任单位</w:t>
            </w:r>
          </w:p>
        </w:tc>
        <w:tc>
          <w:tcPr>
            <w:tcW w:w="89"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997"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雅黑" w:hAnsi="雅黑" w:eastAsia="雅黑" w:cs="雅黑"/>
                <w:b w:val="0"/>
                <w:i w:val="0"/>
                <w:caps w:val="0"/>
                <w:color w:val="666666"/>
                <w:spacing w:val="0"/>
                <w:sz w:val="18"/>
                <w:szCs w:val="18"/>
              </w:rPr>
            </w:pPr>
          </w:p>
        </w:tc>
        <w:tc>
          <w:tcPr>
            <w:tcW w:w="2008" w:type="dxa"/>
            <w:vMerge w:val="continue"/>
            <w:tcBorders>
              <w:top w:val="single" w:color="000000" w:sz="6" w:space="0"/>
              <w:left w:val="nil"/>
              <w:bottom w:val="single" w:color="000000" w:sz="6" w:space="0"/>
              <w:right w:val="single" w:color="000000" w:sz="6" w:space="0"/>
            </w:tcBorders>
            <w:shd w:val="clear"/>
            <w:vAlign w:val="center"/>
          </w:tcPr>
          <w:p>
            <w:pPr>
              <w:rPr>
                <w:rFonts w:hint="default" w:ascii="雅黑" w:hAnsi="雅黑" w:eastAsia="雅黑" w:cs="雅黑"/>
                <w:b w:val="0"/>
                <w:i w:val="0"/>
                <w:caps w:val="0"/>
                <w:color w:val="666666"/>
                <w:spacing w:val="0"/>
                <w:sz w:val="18"/>
                <w:szCs w:val="18"/>
              </w:rPr>
            </w:pPr>
          </w:p>
        </w:tc>
        <w:tc>
          <w:tcPr>
            <w:tcW w:w="3035" w:type="dxa"/>
            <w:tcBorders>
              <w:top w:val="nil"/>
              <w:left w:val="nil"/>
              <w:bottom w:val="single" w:color="000000"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二季度</w:t>
            </w:r>
          </w:p>
        </w:tc>
        <w:tc>
          <w:tcPr>
            <w:tcW w:w="2202" w:type="dxa"/>
            <w:gridSpan w:val="3"/>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三季度</w:t>
            </w:r>
          </w:p>
        </w:tc>
        <w:tc>
          <w:tcPr>
            <w:tcW w:w="1890"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四季度</w:t>
            </w:r>
          </w:p>
        </w:tc>
        <w:tc>
          <w:tcPr>
            <w:tcW w:w="1608" w:type="dxa"/>
            <w:gridSpan w:val="2"/>
            <w:vMerge w:val="continue"/>
            <w:tcBorders>
              <w:top w:val="single" w:color="000000" w:sz="6" w:space="0"/>
              <w:left w:val="nil"/>
              <w:bottom w:val="single" w:color="000000" w:sz="6" w:space="0"/>
              <w:right w:val="single" w:color="000000" w:sz="6" w:space="0"/>
            </w:tcBorders>
            <w:shd w:val="clear"/>
            <w:vAlign w:val="center"/>
          </w:tcPr>
          <w:p>
            <w:pPr>
              <w:rPr>
                <w:rFonts w:hint="default" w:ascii="雅黑" w:hAnsi="雅黑" w:eastAsia="雅黑" w:cs="雅黑"/>
                <w:b w:val="0"/>
                <w:i w:val="0"/>
                <w:caps w:val="0"/>
                <w:color w:val="666666"/>
                <w:spacing w:val="0"/>
                <w:sz w:val="18"/>
                <w:szCs w:val="18"/>
              </w:rPr>
            </w:pPr>
          </w:p>
        </w:tc>
        <w:tc>
          <w:tcPr>
            <w:tcW w:w="1756" w:type="dxa"/>
            <w:gridSpan w:val="2"/>
            <w:vMerge w:val="continue"/>
            <w:tcBorders>
              <w:top w:val="single" w:color="000000" w:sz="6" w:space="0"/>
              <w:left w:val="nil"/>
              <w:bottom w:val="single" w:color="000000" w:sz="6" w:space="0"/>
              <w:right w:val="single" w:color="000000" w:sz="6" w:space="0"/>
            </w:tcBorders>
            <w:shd w:val="clear"/>
            <w:vAlign w:val="center"/>
          </w:tcPr>
          <w:p>
            <w:pPr>
              <w:rPr>
                <w:rFonts w:hint="default" w:ascii="雅黑" w:hAnsi="雅黑" w:eastAsia="雅黑" w:cs="雅黑"/>
                <w:b w:val="0"/>
                <w:i w:val="0"/>
                <w:caps w:val="0"/>
                <w:color w:val="666666"/>
                <w:spacing w:val="0"/>
                <w:sz w:val="18"/>
                <w:szCs w:val="18"/>
              </w:rPr>
            </w:pPr>
          </w:p>
        </w:tc>
        <w:tc>
          <w:tcPr>
            <w:tcW w:w="89"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997" w:type="dxa"/>
            <w:tcBorders>
              <w:top w:val="nil"/>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12</w:t>
            </w:r>
          </w:p>
        </w:tc>
        <w:tc>
          <w:tcPr>
            <w:tcW w:w="2008"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健全政务服务大数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据库</w:t>
            </w:r>
          </w:p>
        </w:tc>
        <w:tc>
          <w:tcPr>
            <w:tcW w:w="3035" w:type="dxa"/>
            <w:tcBorders>
              <w:top w:val="nil"/>
              <w:left w:val="nil"/>
              <w:bottom w:val="single" w:color="000000"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启动面向政府机关管理的数据库和面向社会办事的网上办事数据库的建设工作</w:t>
            </w:r>
          </w:p>
        </w:tc>
        <w:tc>
          <w:tcPr>
            <w:tcW w:w="2202" w:type="dxa"/>
            <w:gridSpan w:val="3"/>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持续推进</w:t>
            </w:r>
          </w:p>
        </w:tc>
        <w:tc>
          <w:tcPr>
            <w:tcW w:w="1890"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数据库建设取得明显进展;研究提出建立数据库共享协调机制的工作措施</w:t>
            </w:r>
          </w:p>
        </w:tc>
        <w:tc>
          <w:tcPr>
            <w:tcW w:w="1608" w:type="dxa"/>
            <w:gridSpan w:val="2"/>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县工业和信息化局</w:t>
            </w:r>
          </w:p>
        </w:tc>
        <w:tc>
          <w:tcPr>
            <w:tcW w:w="1756" w:type="dxa"/>
            <w:gridSpan w:val="2"/>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各乡镇人民政府，县高新区、县直各部门、相关单位</w:t>
            </w:r>
          </w:p>
        </w:tc>
        <w:tc>
          <w:tcPr>
            <w:tcW w:w="89"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997" w:type="dxa"/>
            <w:tcBorders>
              <w:top w:val="nil"/>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13</w:t>
            </w:r>
          </w:p>
        </w:tc>
        <w:tc>
          <w:tcPr>
            <w:tcW w:w="2008"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加强网上办事效能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在线监管</w:t>
            </w:r>
          </w:p>
        </w:tc>
        <w:tc>
          <w:tcPr>
            <w:tcW w:w="3035" w:type="dxa"/>
            <w:tcBorders>
              <w:top w:val="nil"/>
              <w:left w:val="nil"/>
              <w:bottom w:val="single" w:color="000000"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推进“互联网+政务服务” 在线监管系统建设，对接“双权双责”平台</w:t>
            </w:r>
          </w:p>
        </w:tc>
        <w:tc>
          <w:tcPr>
            <w:tcW w:w="2202" w:type="dxa"/>
            <w:gridSpan w:val="3"/>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持续推进</w:t>
            </w:r>
          </w:p>
        </w:tc>
        <w:tc>
          <w:tcPr>
            <w:tcW w:w="1890"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建成在线监管系统,并上线试运行</w:t>
            </w:r>
          </w:p>
        </w:tc>
        <w:tc>
          <w:tcPr>
            <w:tcW w:w="1608" w:type="dxa"/>
            <w:gridSpan w:val="2"/>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县监察局、县行政审批局</w:t>
            </w:r>
          </w:p>
        </w:tc>
        <w:tc>
          <w:tcPr>
            <w:tcW w:w="1756" w:type="dxa"/>
            <w:gridSpan w:val="2"/>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各乡镇人民政府，县高新区，县直各部门、相关单位</w:t>
            </w:r>
          </w:p>
        </w:tc>
        <w:tc>
          <w:tcPr>
            <w:tcW w:w="89"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997"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14</w:t>
            </w:r>
          </w:p>
        </w:tc>
        <w:tc>
          <w:tcPr>
            <w:tcW w:w="2008"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县乡两级中介服务管理信息平台建设</w:t>
            </w:r>
          </w:p>
        </w:tc>
        <w:tc>
          <w:tcPr>
            <w:tcW w:w="303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完善中介服务管理信息平台建设，确保平台实现投资审批中介服务公开公平操作与智能化选取</w:t>
            </w:r>
          </w:p>
        </w:tc>
        <w:tc>
          <w:tcPr>
            <w:tcW w:w="2202" w:type="dxa"/>
            <w:gridSpan w:val="3"/>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持续推进</w:t>
            </w:r>
          </w:p>
        </w:tc>
        <w:tc>
          <w:tcPr>
            <w:tcW w:w="189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实现县乡两级平台一体化运行</w:t>
            </w:r>
          </w:p>
        </w:tc>
        <w:tc>
          <w:tcPr>
            <w:tcW w:w="1608"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县行政审批局</w:t>
            </w:r>
          </w:p>
        </w:tc>
        <w:tc>
          <w:tcPr>
            <w:tcW w:w="1756"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各乡镇人民政府，县高新区</w:t>
            </w:r>
          </w:p>
        </w:tc>
        <w:tc>
          <w:tcPr>
            <w:tcW w:w="89"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997"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15</w:t>
            </w:r>
          </w:p>
        </w:tc>
        <w:tc>
          <w:tcPr>
            <w:tcW w:w="2008"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规范市县两级公共资源电子化交易平台建设</w:t>
            </w:r>
          </w:p>
        </w:tc>
        <w:tc>
          <w:tcPr>
            <w:tcW w:w="303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推进省、市、县公共资源交易系统连接工作，统一工作流程</w:t>
            </w:r>
          </w:p>
        </w:tc>
        <w:tc>
          <w:tcPr>
            <w:tcW w:w="2202" w:type="dxa"/>
            <w:gridSpan w:val="3"/>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逐步建立一体化的“互联网+” 公共资源服务模式</w:t>
            </w:r>
          </w:p>
        </w:tc>
        <w:tc>
          <w:tcPr>
            <w:tcW w:w="189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推进市、县公共资源交易全流程电子化。</w:t>
            </w:r>
          </w:p>
        </w:tc>
        <w:tc>
          <w:tcPr>
            <w:tcW w:w="1608"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县行政审批局</w:t>
            </w:r>
          </w:p>
        </w:tc>
        <w:tc>
          <w:tcPr>
            <w:tcW w:w="1756" w:type="dxa"/>
            <w:gridSpan w:val="2"/>
            <w:tcBorders>
              <w:top w:val="nil"/>
              <w:left w:val="nil"/>
              <w:bottom w:val="single" w:color="auto" w:sz="6" w:space="0"/>
              <w:right w:val="single" w:color="auto" w:sz="6" w:space="0"/>
            </w:tcBorders>
            <w:shd w:val="clear"/>
            <w:vAlign w:val="center"/>
          </w:tcPr>
          <w:p>
            <w:pPr>
              <w:rPr>
                <w:rFonts w:hint="default" w:ascii="雅黑" w:hAnsi="雅黑" w:eastAsia="雅黑" w:cs="雅黑"/>
                <w:b w:val="0"/>
                <w:i w:val="0"/>
                <w:caps w:val="0"/>
                <w:color w:val="666666"/>
                <w:spacing w:val="0"/>
                <w:sz w:val="18"/>
                <w:szCs w:val="18"/>
              </w:rPr>
            </w:pPr>
          </w:p>
        </w:tc>
        <w:tc>
          <w:tcPr>
            <w:tcW w:w="89"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997"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c>
          <w:tcPr>
            <w:tcW w:w="2008"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c>
          <w:tcPr>
            <w:tcW w:w="4851" w:type="dxa"/>
            <w:gridSpan w:val="2"/>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c>
          <w:tcPr>
            <w:tcW w:w="89"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c>
          <w:tcPr>
            <w:tcW w:w="297"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c>
          <w:tcPr>
            <w:tcW w:w="1979" w:type="dxa"/>
            <w:gridSpan w:val="2"/>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c>
          <w:tcPr>
            <w:tcW w:w="1608" w:type="dxa"/>
            <w:gridSpan w:val="2"/>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c>
          <w:tcPr>
            <w:tcW w:w="1756" w:type="dxa"/>
            <w:gridSpan w:val="2"/>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r>
    </w:tbl>
    <w:p>
      <w:pPr>
        <w:rPr>
          <w:vanish/>
          <w:sz w:val="24"/>
          <w:szCs w:val="24"/>
        </w:rPr>
      </w:pPr>
    </w:p>
    <w:tbl>
      <w:tblPr>
        <w:tblW w:w="13794" w:type="dxa"/>
        <w:jc w:val="center"/>
        <w:tblInd w:w="8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240"/>
        <w:gridCol w:w="1328"/>
        <w:gridCol w:w="328"/>
        <w:gridCol w:w="1642"/>
        <w:gridCol w:w="1816"/>
        <w:gridCol w:w="1019"/>
        <w:gridCol w:w="889"/>
        <w:gridCol w:w="1389"/>
        <w:gridCol w:w="948"/>
        <w:gridCol w:w="818"/>
        <w:gridCol w:w="1525"/>
        <w:gridCol w:w="1639"/>
        <w:gridCol w:w="2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240"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c>
          <w:tcPr>
            <w:tcW w:w="1328" w:type="dxa"/>
            <w:vMerge w:val="restart"/>
            <w:tcBorders>
              <w:top w:val="single" w:color="auto" w:sz="6" w:space="0"/>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序号</w:t>
            </w:r>
          </w:p>
        </w:tc>
        <w:tc>
          <w:tcPr>
            <w:tcW w:w="1970" w:type="dxa"/>
            <w:gridSpan w:val="2"/>
            <w:vMerge w:val="restart"/>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工 作 任 务</w:t>
            </w:r>
          </w:p>
        </w:tc>
        <w:tc>
          <w:tcPr>
            <w:tcW w:w="6879" w:type="dxa"/>
            <w:gridSpan w:val="6"/>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2017年度主要工作任务</w:t>
            </w:r>
          </w:p>
        </w:tc>
        <w:tc>
          <w:tcPr>
            <w:tcW w:w="1525" w:type="dxa"/>
            <w:vMerge w:val="restart"/>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牵头单位</w:t>
            </w:r>
          </w:p>
        </w:tc>
        <w:tc>
          <w:tcPr>
            <w:tcW w:w="1852" w:type="dxa"/>
            <w:gridSpan w:val="2"/>
            <w:vMerge w:val="restart"/>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责任单位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240"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c>
          <w:tcPr>
            <w:tcW w:w="1328" w:type="dxa"/>
            <w:vMerge w:val="continue"/>
            <w:tcBorders>
              <w:top w:val="single" w:color="auto" w:sz="6" w:space="0"/>
              <w:left w:val="single" w:color="auto" w:sz="6" w:space="0"/>
              <w:bottom w:val="single" w:color="auto" w:sz="6" w:space="0"/>
              <w:right w:val="single" w:color="auto" w:sz="6" w:space="0"/>
            </w:tcBorders>
            <w:shd w:val="clear"/>
            <w:vAlign w:val="center"/>
          </w:tcPr>
          <w:p>
            <w:pPr>
              <w:rPr>
                <w:rFonts w:hint="default" w:ascii="雅黑" w:hAnsi="雅黑" w:eastAsia="雅黑" w:cs="雅黑"/>
                <w:b w:val="0"/>
                <w:i w:val="0"/>
                <w:caps w:val="0"/>
                <w:color w:val="666666"/>
                <w:spacing w:val="0"/>
                <w:sz w:val="18"/>
                <w:szCs w:val="18"/>
              </w:rPr>
            </w:pPr>
          </w:p>
        </w:tc>
        <w:tc>
          <w:tcPr>
            <w:tcW w:w="1970" w:type="dxa"/>
            <w:gridSpan w:val="2"/>
            <w:vMerge w:val="continue"/>
            <w:tcBorders>
              <w:top w:val="single" w:color="auto" w:sz="6" w:space="0"/>
              <w:left w:val="nil"/>
              <w:bottom w:val="single" w:color="auto" w:sz="6" w:space="0"/>
              <w:right w:val="single" w:color="auto" w:sz="6" w:space="0"/>
            </w:tcBorders>
            <w:shd w:val="clear"/>
            <w:vAlign w:val="center"/>
          </w:tcPr>
          <w:p>
            <w:pPr>
              <w:rPr>
                <w:rFonts w:hint="default" w:ascii="雅黑" w:hAnsi="雅黑" w:eastAsia="雅黑" w:cs="雅黑"/>
                <w:b w:val="0"/>
                <w:i w:val="0"/>
                <w:caps w:val="0"/>
                <w:color w:val="666666"/>
                <w:spacing w:val="0"/>
                <w:sz w:val="18"/>
                <w:szCs w:val="18"/>
              </w:rPr>
            </w:pPr>
          </w:p>
        </w:tc>
        <w:tc>
          <w:tcPr>
            <w:tcW w:w="2835"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二季度</w:t>
            </w:r>
          </w:p>
        </w:tc>
        <w:tc>
          <w:tcPr>
            <w:tcW w:w="2278"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三季度</w:t>
            </w:r>
          </w:p>
        </w:tc>
        <w:tc>
          <w:tcPr>
            <w:tcW w:w="1766"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四季度</w:t>
            </w:r>
          </w:p>
        </w:tc>
        <w:tc>
          <w:tcPr>
            <w:tcW w:w="1525" w:type="dxa"/>
            <w:vMerge w:val="continue"/>
            <w:tcBorders>
              <w:top w:val="single" w:color="auto" w:sz="6" w:space="0"/>
              <w:left w:val="nil"/>
              <w:bottom w:val="single" w:color="auto" w:sz="6" w:space="0"/>
              <w:right w:val="single" w:color="auto" w:sz="6" w:space="0"/>
            </w:tcBorders>
            <w:shd w:val="clear"/>
            <w:vAlign w:val="center"/>
          </w:tcPr>
          <w:p>
            <w:pPr>
              <w:rPr>
                <w:rFonts w:hint="default" w:ascii="雅黑" w:hAnsi="雅黑" w:eastAsia="雅黑" w:cs="雅黑"/>
                <w:b w:val="0"/>
                <w:i w:val="0"/>
                <w:caps w:val="0"/>
                <w:color w:val="666666"/>
                <w:spacing w:val="0"/>
                <w:sz w:val="18"/>
                <w:szCs w:val="18"/>
              </w:rPr>
            </w:pPr>
          </w:p>
        </w:tc>
        <w:tc>
          <w:tcPr>
            <w:tcW w:w="1852" w:type="dxa"/>
            <w:gridSpan w:val="2"/>
            <w:vMerge w:val="continue"/>
            <w:tcBorders>
              <w:top w:val="single" w:color="auto" w:sz="6" w:space="0"/>
              <w:left w:val="nil"/>
              <w:bottom w:val="single" w:color="auto" w:sz="6" w:space="0"/>
              <w:right w:val="single" w:color="auto" w:sz="6" w:space="0"/>
            </w:tcBorders>
            <w:shd w:val="clear"/>
            <w:vAlign w:val="center"/>
          </w:tcPr>
          <w:p>
            <w:pPr>
              <w:rPr>
                <w:rFonts w:hint="default" w:ascii="雅黑" w:hAnsi="雅黑" w:eastAsia="雅黑" w:cs="雅黑"/>
                <w:b w:val="0"/>
                <w:i w:val="0"/>
                <w:caps w:val="0"/>
                <w:color w:val="666666"/>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240"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c>
          <w:tcPr>
            <w:tcW w:w="1328"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16</w:t>
            </w:r>
          </w:p>
        </w:tc>
        <w:tc>
          <w:tcPr>
            <w:tcW w:w="1970"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健全制度标准规范</w:t>
            </w:r>
          </w:p>
        </w:tc>
        <w:tc>
          <w:tcPr>
            <w:tcW w:w="2835"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按照省“互联网+政务服务”技术规范、数据共享等规范技术体系建设我县“互联网+政务服务”平台体系</w:t>
            </w:r>
          </w:p>
        </w:tc>
        <w:tc>
          <w:tcPr>
            <w:tcW w:w="2278"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制定我县统一的“互联网+政务服务”技术规范、数据共享、业务办理、数据编码和格式标准及交换接口规范的平台体系方案</w:t>
            </w:r>
          </w:p>
        </w:tc>
        <w:tc>
          <w:tcPr>
            <w:tcW w:w="1766"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制定我县网上办事服务管理办法</w:t>
            </w:r>
          </w:p>
        </w:tc>
        <w:tc>
          <w:tcPr>
            <w:tcW w:w="152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县编委办、县质监局、县行政审批局</w:t>
            </w:r>
          </w:p>
        </w:tc>
        <w:tc>
          <w:tcPr>
            <w:tcW w:w="1852" w:type="dxa"/>
            <w:gridSpan w:val="2"/>
            <w:tcBorders>
              <w:top w:val="nil"/>
              <w:left w:val="nil"/>
              <w:bottom w:val="single" w:color="auto" w:sz="6" w:space="0"/>
              <w:right w:val="single" w:color="auto" w:sz="6" w:space="0"/>
            </w:tcBorders>
            <w:shd w:val="clear"/>
            <w:vAlign w:val="center"/>
          </w:tcPr>
          <w:p>
            <w:pPr>
              <w:rPr>
                <w:rFonts w:hint="default" w:ascii="雅黑" w:hAnsi="雅黑" w:eastAsia="雅黑" w:cs="雅黑"/>
                <w:b w:val="0"/>
                <w:i w:val="0"/>
                <w:caps w:val="0"/>
                <w:color w:val="666666"/>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240"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c>
          <w:tcPr>
            <w:tcW w:w="1328"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17</w:t>
            </w:r>
          </w:p>
        </w:tc>
        <w:tc>
          <w:tcPr>
            <w:tcW w:w="1970"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加快新型智慧城市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建设</w:t>
            </w:r>
          </w:p>
        </w:tc>
        <w:tc>
          <w:tcPr>
            <w:tcW w:w="2835"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按照国家、省市有关部署和要求，推进智慧城市建设</w:t>
            </w:r>
          </w:p>
        </w:tc>
        <w:tc>
          <w:tcPr>
            <w:tcW w:w="2278"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持续推进</w:t>
            </w:r>
          </w:p>
        </w:tc>
        <w:tc>
          <w:tcPr>
            <w:tcW w:w="1766"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持续推进</w:t>
            </w:r>
          </w:p>
        </w:tc>
        <w:tc>
          <w:tcPr>
            <w:tcW w:w="152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县发改局、县网信办、县住房城乡建设局、县工业和信息化局、县科技局</w:t>
            </w:r>
          </w:p>
        </w:tc>
        <w:tc>
          <w:tcPr>
            <w:tcW w:w="1852"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各乡镇人民政府，县高新区，县政府有关部门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240"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c>
          <w:tcPr>
            <w:tcW w:w="1328"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18</w:t>
            </w:r>
          </w:p>
        </w:tc>
        <w:tc>
          <w:tcPr>
            <w:tcW w:w="1970"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完善政务信息资源共享机制</w:t>
            </w:r>
          </w:p>
        </w:tc>
        <w:tc>
          <w:tcPr>
            <w:tcW w:w="2835"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启动县级信息资源共享绩效评价制度制定工作，出台市级信息资源共享绩效评价制度</w:t>
            </w:r>
          </w:p>
        </w:tc>
        <w:tc>
          <w:tcPr>
            <w:tcW w:w="2278"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率先将行政处罚、市场监管、社会信用等重点领域的政务信息资源纳入共享目录</w:t>
            </w:r>
          </w:p>
        </w:tc>
        <w:tc>
          <w:tcPr>
            <w:tcW w:w="1766"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对行政处罚、市场监管、社会信用等重点领域的政务信息资源纳入共享目录工作进行总结，为下一年度拓展共享目录覆盖做好准备</w:t>
            </w:r>
          </w:p>
        </w:tc>
        <w:tc>
          <w:tcPr>
            <w:tcW w:w="152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县工业和信息化局、县发改局</w:t>
            </w:r>
          </w:p>
        </w:tc>
        <w:tc>
          <w:tcPr>
            <w:tcW w:w="1852"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各乡镇人民政府，县高新区，县直各部门、相关单位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240" w:type="dxa"/>
            <w:vMerge w:val="restart"/>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序号</w:t>
            </w:r>
          </w:p>
        </w:tc>
        <w:tc>
          <w:tcPr>
            <w:tcW w:w="1656" w:type="dxa"/>
            <w:gridSpan w:val="2"/>
            <w:vMerge w:val="restart"/>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工 作 任 务</w:t>
            </w:r>
          </w:p>
        </w:tc>
        <w:tc>
          <w:tcPr>
            <w:tcW w:w="7703" w:type="dxa"/>
            <w:gridSpan w:val="6"/>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2017年度主要工作任务</w:t>
            </w:r>
          </w:p>
        </w:tc>
        <w:tc>
          <w:tcPr>
            <w:tcW w:w="2343" w:type="dxa"/>
            <w:gridSpan w:val="2"/>
            <w:vMerge w:val="restart"/>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牵头单位</w:t>
            </w:r>
          </w:p>
        </w:tc>
        <w:tc>
          <w:tcPr>
            <w:tcW w:w="1639" w:type="dxa"/>
            <w:vMerge w:val="restart"/>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责任单位</w:t>
            </w:r>
          </w:p>
        </w:tc>
        <w:tc>
          <w:tcPr>
            <w:tcW w:w="213"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240" w:type="dxa"/>
            <w:vMerge w:val="continue"/>
            <w:tcBorders>
              <w:top w:val="nil"/>
              <w:left w:val="single" w:color="auto" w:sz="6" w:space="0"/>
              <w:bottom w:val="single" w:color="auto" w:sz="6" w:space="0"/>
              <w:right w:val="single" w:color="auto" w:sz="6" w:space="0"/>
            </w:tcBorders>
            <w:shd w:val="clear"/>
            <w:vAlign w:val="center"/>
          </w:tcPr>
          <w:p>
            <w:pPr>
              <w:rPr>
                <w:rFonts w:hint="default" w:ascii="雅黑" w:hAnsi="雅黑" w:eastAsia="雅黑" w:cs="雅黑"/>
                <w:b w:val="0"/>
                <w:i w:val="0"/>
                <w:caps w:val="0"/>
                <w:color w:val="666666"/>
                <w:spacing w:val="0"/>
                <w:sz w:val="18"/>
                <w:szCs w:val="18"/>
              </w:rPr>
            </w:pPr>
          </w:p>
        </w:tc>
        <w:tc>
          <w:tcPr>
            <w:tcW w:w="1656" w:type="dxa"/>
            <w:gridSpan w:val="2"/>
            <w:vMerge w:val="continue"/>
            <w:tcBorders>
              <w:top w:val="nil"/>
              <w:left w:val="nil"/>
              <w:bottom w:val="single" w:color="auto" w:sz="6" w:space="0"/>
              <w:right w:val="single" w:color="auto" w:sz="6" w:space="0"/>
            </w:tcBorders>
            <w:shd w:val="clear"/>
            <w:vAlign w:val="center"/>
          </w:tcPr>
          <w:p>
            <w:pPr>
              <w:rPr>
                <w:rFonts w:hint="default" w:ascii="雅黑" w:hAnsi="雅黑" w:eastAsia="雅黑" w:cs="雅黑"/>
                <w:b w:val="0"/>
                <w:i w:val="0"/>
                <w:caps w:val="0"/>
                <w:color w:val="666666"/>
                <w:spacing w:val="0"/>
                <w:sz w:val="18"/>
                <w:szCs w:val="18"/>
              </w:rPr>
            </w:pPr>
          </w:p>
        </w:tc>
        <w:tc>
          <w:tcPr>
            <w:tcW w:w="3458"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二季度</w:t>
            </w:r>
          </w:p>
        </w:tc>
        <w:tc>
          <w:tcPr>
            <w:tcW w:w="1908"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三季度</w:t>
            </w:r>
          </w:p>
        </w:tc>
        <w:tc>
          <w:tcPr>
            <w:tcW w:w="2337"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四季度</w:t>
            </w:r>
          </w:p>
        </w:tc>
        <w:tc>
          <w:tcPr>
            <w:tcW w:w="2343" w:type="dxa"/>
            <w:gridSpan w:val="2"/>
            <w:vMerge w:val="continue"/>
            <w:tcBorders>
              <w:top w:val="nil"/>
              <w:left w:val="nil"/>
              <w:bottom w:val="single" w:color="auto" w:sz="6" w:space="0"/>
              <w:right w:val="single" w:color="auto" w:sz="6" w:space="0"/>
            </w:tcBorders>
            <w:shd w:val="clear"/>
            <w:vAlign w:val="center"/>
          </w:tcPr>
          <w:p>
            <w:pPr>
              <w:rPr>
                <w:rFonts w:hint="default" w:ascii="雅黑" w:hAnsi="雅黑" w:eastAsia="雅黑" w:cs="雅黑"/>
                <w:b w:val="0"/>
                <w:i w:val="0"/>
                <w:caps w:val="0"/>
                <w:color w:val="666666"/>
                <w:spacing w:val="0"/>
                <w:sz w:val="18"/>
                <w:szCs w:val="18"/>
              </w:rPr>
            </w:pPr>
          </w:p>
        </w:tc>
        <w:tc>
          <w:tcPr>
            <w:tcW w:w="1639" w:type="dxa"/>
            <w:vMerge w:val="continue"/>
            <w:tcBorders>
              <w:top w:val="nil"/>
              <w:left w:val="nil"/>
              <w:bottom w:val="single" w:color="auto" w:sz="6" w:space="0"/>
              <w:right w:val="single" w:color="auto" w:sz="6" w:space="0"/>
            </w:tcBorders>
            <w:shd w:val="clear"/>
            <w:vAlign w:val="center"/>
          </w:tcPr>
          <w:p>
            <w:pPr>
              <w:rPr>
                <w:rFonts w:hint="default" w:ascii="雅黑" w:hAnsi="雅黑" w:eastAsia="雅黑" w:cs="雅黑"/>
                <w:b w:val="0"/>
                <w:i w:val="0"/>
                <w:caps w:val="0"/>
                <w:color w:val="666666"/>
                <w:spacing w:val="0"/>
                <w:sz w:val="18"/>
                <w:szCs w:val="18"/>
              </w:rPr>
            </w:pPr>
          </w:p>
        </w:tc>
        <w:tc>
          <w:tcPr>
            <w:tcW w:w="213"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240"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19</w:t>
            </w:r>
          </w:p>
        </w:tc>
        <w:tc>
          <w:tcPr>
            <w:tcW w:w="1656"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加强网络和信息安全体系建设</w:t>
            </w:r>
          </w:p>
        </w:tc>
        <w:tc>
          <w:tcPr>
            <w:tcW w:w="3458"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全面开展政务服务平台系统等级保护定级备案、等级测评等安防工作</w:t>
            </w:r>
          </w:p>
        </w:tc>
        <w:tc>
          <w:tcPr>
            <w:tcW w:w="1908"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持续推进</w:t>
            </w:r>
          </w:p>
        </w:tc>
        <w:tc>
          <w:tcPr>
            <w:tcW w:w="2337"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对年度网络和信息安全体系建设工作进行总结，研究提出下一年度工作重点和措施</w:t>
            </w:r>
          </w:p>
        </w:tc>
        <w:tc>
          <w:tcPr>
            <w:tcW w:w="2343"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县网信办、县公安局、县工业和信息化局、县保密局</w:t>
            </w:r>
          </w:p>
        </w:tc>
        <w:tc>
          <w:tcPr>
            <w:tcW w:w="1639"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各乡镇人民政府，县高新区，县直有关部门</w:t>
            </w:r>
          </w:p>
        </w:tc>
        <w:tc>
          <w:tcPr>
            <w:tcW w:w="213"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240"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20</w:t>
            </w:r>
          </w:p>
        </w:tc>
        <w:tc>
          <w:tcPr>
            <w:tcW w:w="1656"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强化组织领导</w:t>
            </w:r>
          </w:p>
        </w:tc>
        <w:tc>
          <w:tcPr>
            <w:tcW w:w="3458"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成立全县“互联网+政务服务”工作领导小组将“互联网+政务服务”纳入政府绩效考核体系；组织开展“互联网+政务服务”专题培训</w:t>
            </w:r>
          </w:p>
        </w:tc>
        <w:tc>
          <w:tcPr>
            <w:tcW w:w="1908"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对各乡镇及相关县直部门进行检查，进一步加强和改进工作</w:t>
            </w:r>
          </w:p>
        </w:tc>
        <w:tc>
          <w:tcPr>
            <w:tcW w:w="2337"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对各乡镇及相关县直部门“互联网+政务服务”工作进行督导检查，总结工作，研究确定下一年度工作实施方案</w:t>
            </w:r>
          </w:p>
        </w:tc>
        <w:tc>
          <w:tcPr>
            <w:tcW w:w="2343"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县政府办公室</w:t>
            </w:r>
          </w:p>
        </w:tc>
        <w:tc>
          <w:tcPr>
            <w:tcW w:w="1639"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各乡镇人民政府，县高新区，县政府有关部门</w:t>
            </w:r>
          </w:p>
        </w:tc>
        <w:tc>
          <w:tcPr>
            <w:tcW w:w="213"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240"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21</w:t>
            </w:r>
          </w:p>
        </w:tc>
        <w:tc>
          <w:tcPr>
            <w:tcW w:w="1656"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强化目标考核监督</w:t>
            </w:r>
          </w:p>
        </w:tc>
        <w:tc>
          <w:tcPr>
            <w:tcW w:w="3458"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建立“互联网+政务服务”工作考核制度，列出重点督查督办事项</w:t>
            </w:r>
          </w:p>
        </w:tc>
        <w:tc>
          <w:tcPr>
            <w:tcW w:w="1908"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持续推进</w:t>
            </w:r>
          </w:p>
        </w:tc>
        <w:tc>
          <w:tcPr>
            <w:tcW w:w="2337"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持续督办进展情况，定期公开通报工作进展和成效</w:t>
            </w:r>
          </w:p>
        </w:tc>
        <w:tc>
          <w:tcPr>
            <w:tcW w:w="2343"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县政府办公室</w:t>
            </w:r>
          </w:p>
        </w:tc>
        <w:tc>
          <w:tcPr>
            <w:tcW w:w="1639"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各乡镇人民政府，县高新区，县政府有关部门</w:t>
            </w:r>
          </w:p>
        </w:tc>
        <w:tc>
          <w:tcPr>
            <w:tcW w:w="213"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240"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22</w:t>
            </w:r>
          </w:p>
        </w:tc>
        <w:tc>
          <w:tcPr>
            <w:tcW w:w="1656"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强化培训推广工作</w:t>
            </w:r>
          </w:p>
        </w:tc>
        <w:tc>
          <w:tcPr>
            <w:tcW w:w="3458"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制度年度培训计划</w:t>
            </w:r>
          </w:p>
        </w:tc>
        <w:tc>
          <w:tcPr>
            <w:tcW w:w="1908"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开展试点示范工作，建立现场观摩等交流平台</w:t>
            </w:r>
          </w:p>
        </w:tc>
        <w:tc>
          <w:tcPr>
            <w:tcW w:w="2337"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组织培训，开展业务研讨，学习交流，总结经验</w:t>
            </w:r>
          </w:p>
        </w:tc>
        <w:tc>
          <w:tcPr>
            <w:tcW w:w="2343"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市政府办公室、市人力资源社会保障局、市工业和信息化局、市行政审批局</w:t>
            </w:r>
          </w:p>
        </w:tc>
        <w:tc>
          <w:tcPr>
            <w:tcW w:w="1639"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各县市区人民政府，市政府有关部门</w:t>
            </w:r>
          </w:p>
        </w:tc>
        <w:tc>
          <w:tcPr>
            <w:tcW w:w="213"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jc w:val="center"/>
        </w:trPr>
        <w:tc>
          <w:tcPr>
            <w:tcW w:w="240"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23</w:t>
            </w:r>
          </w:p>
        </w:tc>
        <w:tc>
          <w:tcPr>
            <w:tcW w:w="1656"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强化经费保障</w:t>
            </w:r>
          </w:p>
        </w:tc>
        <w:tc>
          <w:tcPr>
            <w:tcW w:w="3458"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按照政府购买服务的思路，研究制定向社会力量购买“互联网+政务服务”平台建设所需技术和运维服务的办法，统筹考虑所需资金</w:t>
            </w:r>
          </w:p>
        </w:tc>
        <w:tc>
          <w:tcPr>
            <w:tcW w:w="1908"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为本级“互联网+政务服务”平台建设和运维管理工作提供经费保障</w:t>
            </w:r>
          </w:p>
        </w:tc>
        <w:tc>
          <w:tcPr>
            <w:tcW w:w="2337"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统筹安排编制预算资金，</w:t>
            </w:r>
          </w:p>
        </w:tc>
        <w:tc>
          <w:tcPr>
            <w:tcW w:w="2343"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县财政局、县发改局、县工业和信息化局</w:t>
            </w:r>
          </w:p>
        </w:tc>
        <w:tc>
          <w:tcPr>
            <w:tcW w:w="1639"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雅黑" w:hAnsi="雅黑" w:eastAsia="雅黑" w:cs="雅黑"/>
                <w:b w:val="0"/>
                <w:i w:val="0"/>
                <w:caps w:val="0"/>
                <w:color w:val="666666"/>
                <w:spacing w:val="0"/>
                <w:sz w:val="18"/>
                <w:szCs w:val="18"/>
                <w:bdr w:val="none" w:color="auto" w:sz="0" w:space="0"/>
              </w:rPr>
              <w:t>各乡镇人民政府，县高新区，县政府有关部门</w:t>
            </w:r>
          </w:p>
        </w:tc>
        <w:tc>
          <w:tcPr>
            <w:tcW w:w="213" w:type="dxa"/>
            <w:tcBorders>
              <w:top w:val="nil"/>
              <w:left w:val="nil"/>
              <w:bottom w:val="nil"/>
              <w:right w:val="nil"/>
            </w:tcBorders>
            <w:shd w:val="clear"/>
            <w:vAlign w:val="center"/>
          </w:tcPr>
          <w:p>
            <w:pPr>
              <w:rPr>
                <w:rFonts w:hint="default" w:ascii="雅黑" w:hAnsi="雅黑" w:eastAsia="雅黑" w:cs="雅黑"/>
                <w:b w:val="0"/>
                <w:i w:val="0"/>
                <w:caps w:val="0"/>
                <w:color w:val="666666"/>
                <w:spacing w:val="0"/>
                <w:sz w:val="18"/>
                <w:szCs w:val="18"/>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b w:val="0"/>
          <w:i w:val="0"/>
          <w:caps w:val="0"/>
          <w:color w:val="666666"/>
          <w:spacing w:val="0"/>
          <w:sz w:val="18"/>
          <w:szCs w:val="18"/>
        </w:rPr>
      </w:pPr>
      <w:r>
        <w:rPr>
          <w:rFonts w:hint="eastAsia" w:ascii="宋体" w:hAnsi="宋体" w:eastAsia="宋体" w:cs="宋体"/>
          <w:b w:val="0"/>
          <w:i w:val="0"/>
          <w:caps w:val="0"/>
          <w:color w:val="666666"/>
          <w:spacing w:val="0"/>
          <w:sz w:val="18"/>
          <w:szCs w:val="18"/>
          <w:bdr w:val="none" w:color="auto" w:sz="0" w:space="0"/>
        </w:rPr>
        <w:t>　　</w:t>
      </w:r>
    </w:p>
    <w:p>
      <w:pPr>
        <w:pStyle w:val="2"/>
        <w:keepNext w:val="0"/>
        <w:keepLines w:val="0"/>
        <w:widowControl/>
        <w:suppressLineNumbers w:val="0"/>
        <w:spacing w:line="390" w:lineRule="atLeast"/>
        <w:jc w:val="left"/>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雅黑">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EE06FE"/>
    <w:rsid w:val="0F2C2152"/>
    <w:rsid w:val="17D54171"/>
    <w:rsid w:val="17EB127C"/>
    <w:rsid w:val="239E7352"/>
    <w:rsid w:val="2F343C0D"/>
    <w:rsid w:val="378F0C60"/>
    <w:rsid w:val="403B53A8"/>
    <w:rsid w:val="44E16E9B"/>
    <w:rsid w:val="48DE1486"/>
    <w:rsid w:val="4F910273"/>
    <w:rsid w:val="5E761FF1"/>
    <w:rsid w:val="6D80217C"/>
    <w:rsid w:val="7E527E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qFormat/>
    <w:uiPriority w:val="0"/>
    <w:rPr>
      <w:rFonts w:hint="eastAsia" w:ascii="宋体" w:hAnsi="宋体" w:eastAsia="宋体" w:cs="宋体"/>
      <w:color w:val="3D3D3D"/>
      <w:u w:val="none"/>
    </w:rPr>
  </w:style>
  <w:style w:type="character" w:styleId="6">
    <w:name w:val="Hyperlink"/>
    <w:basedOn w:val="3"/>
    <w:qFormat/>
    <w:uiPriority w:val="0"/>
    <w:rPr>
      <w:rFonts w:hint="eastAsia" w:ascii="宋体" w:hAnsi="宋体" w:eastAsia="宋体" w:cs="宋体"/>
      <w:color w:val="3D3D3D"/>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甚好</cp:lastModifiedBy>
  <dcterms:modified xsi:type="dcterms:W3CDTF">2018-04-10T09:08:45Z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