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电子政务规划</w:t>
      </w:r>
      <w:bookmarkStart w:id="0" w:name="_GoBack"/>
      <w:bookmarkEnd w:id="0"/>
      <w:r>
        <w:rPr>
          <w:rFonts w:hint="eastAsia" w:ascii="微软雅黑" w:hAnsi="微软雅黑" w:eastAsia="微软雅黑" w:cs="微软雅黑"/>
          <w:b w:val="0"/>
          <w:i w:val="0"/>
          <w:caps w:val="0"/>
          <w:color w:val="333333"/>
          <w:spacing w:val="0"/>
          <w:sz w:val="21"/>
          <w:szCs w:val="21"/>
          <w:bdr w:val="none" w:color="auto" w:sz="0" w:space="0"/>
          <w:shd w:val="clear" w:fill="FFFFFF"/>
        </w:rPr>
        <w:t>重点项目及时间进度表（2017—2020年）</w:t>
      </w:r>
    </w:p>
    <w:tbl>
      <w:tblPr>
        <w:tblW w:w="14640"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750"/>
        <w:gridCol w:w="1500"/>
        <w:gridCol w:w="3840"/>
        <w:gridCol w:w="1275"/>
        <w:gridCol w:w="1260"/>
        <w:gridCol w:w="1170"/>
        <w:gridCol w:w="1260"/>
        <w:gridCol w:w="1335"/>
        <w:gridCol w:w="1290"/>
        <w:gridCol w:w="96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领域</w:t>
            </w:r>
          </w:p>
        </w:tc>
        <w:tc>
          <w:tcPr>
            <w:tcW w:w="150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项目名称</w:t>
            </w:r>
          </w:p>
        </w:tc>
        <w:tc>
          <w:tcPr>
            <w:tcW w:w="384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建设内容与目标</w:t>
            </w:r>
          </w:p>
        </w:tc>
        <w:tc>
          <w:tcPr>
            <w:tcW w:w="4965" w:type="dxa"/>
            <w:gridSpan w:val="4"/>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年度阶段计划要点</w:t>
            </w:r>
          </w:p>
        </w:tc>
        <w:tc>
          <w:tcPr>
            <w:tcW w:w="1335"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责任单位</w:t>
            </w:r>
          </w:p>
        </w:tc>
        <w:tc>
          <w:tcPr>
            <w:tcW w:w="129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配合单位</w:t>
            </w:r>
          </w:p>
        </w:tc>
        <w:tc>
          <w:tcPr>
            <w:tcW w:w="96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384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2017</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2018</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2019</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2020</w:t>
            </w:r>
          </w:p>
        </w:tc>
        <w:tc>
          <w:tcPr>
            <w:tcW w:w="1335"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29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96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网络基础设施</w:t>
            </w: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电子政务云数据中心建设工程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市级电子政务云平台，包括统一的数据交换共享平台、安全保障体系和运维服务体系建设。到2017年，二期可以支持六安市各部门已建的基础数据库、业务应用系统按计划分批迁移到政务云平台。</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二期项目信息安全监测（含等保）与绩效评估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三期项目需要调研与可行性方案</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三期项目建设</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二期项目信息安全监测（含等保）与绩效评估</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政务网络整合优化提升工程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整合联通市级及以下部门现有业务专网，形成统一的“云网合一”体系架构，建设统一运维管理平台和安全保障体系，完成云网络安全审查和信息安全等保评测。到2018年，政务内网实现市县区政府及政府部门全覆盖，政务外网延伸扩展至所有街道社区、重点乡镇和中心村。</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政务云部署迁移工程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4期工程：1期：梳理全市各级部门业务应用范围、清单以及购买云服务目录，制定云迁移方案及其部署计划，包括运维方案和运维资金测算。第2、3、4期分批部署政务云部门内迁移工作。到2020年，实现政务外网云平台承载市直部门50%以上的业务应用。</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1期：梳理业务应用清单和购买服务目录，制定迁移计划</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2期：完成迁移计划的40%业务系统迁移，完成项目绩效评估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3期：完成迁移计划的40%业务系统迁移,完成项目绩效评估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4期：完成迁移计划的20%业务系统迁移,完成项目绩效评估</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市政府网站集约化平台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 依据国家和省有关电子政务标准化体系，建设统一服务资源分录目录体系，“政府信息公开”、“政民互动”等集约化平台建设。2期：“网上办事大厅”、“数据开放”等集约化平台建设。3期：四大集约化平台整合优化。到2020年，建成政府网站集约化建设公共服务平台。</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工程整体绩效评估。</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数字认证“一证通”服务工程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分3期工程建设。1期：全市统一密钥管理系统和“一证通”系统建设，出台相关管理办法、服务指南和应用推广计划。第2、3期：“一证通”应用推广。到2020年，完成数字认证“一证通”应用全覆盖。</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2期工程项目推广应用和项目绩效评估。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3期工程项目推广应用和项目绩效评估。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市行政中心园区网络升级</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市行政中心园区扁平化网络组网建设，无线网络建设，实现行政中心内随时随地的接入无线网络进行移动办公。到2017年，可以为市行政中心园区用户提供了高速、安全可靠、高保密性的互联网接入服务。</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本年初，完成项目联网测试、试运营、验收和项目绩效评估。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信息基础设施</w:t>
            </w: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政府基础性数据信息化平台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统一基础数据库建设。2期：建设统一的政务信息资源目录体系、共享交换目录体系及其管理系统，出台相关管理办法。3期：以清单运行、公共信用信息共享、商事制度改革等业务应用为突破口，电子证照、公共信用、政府权力等专题信息资源库和跨部门协同业务数据库的共建共享应用。到2020年，基础数据库、专题信息资源库和跨部门协同业务数据库广泛应用，跨部门信息共享需求满足率达60%以上。</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政务云大数据中心建设（政务云数据支撑管理服务平台建设）</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2期工程建设。1期：提供基础数据库、各类核心业务服务平台的政务信息（数据）资源目录、共享交换目录和元数据的综合管理与服务，建立政务云标准化资源池。2期：部署大数据分析技术软件工具，对内为政府部门、对外为社会公众提供政务数据统计分析和挖掘分析服务。到2020年，可以利用政务云信息（数据）资源池支持电子政务建设集约化、应用平台化和服务整体化。</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政府数据共享开放平台。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参照国家标准，建设统一政府数据开放资源目录体系和政府数据开放门户网站，出台相关管理服务办法，制定年度开放计划。第2、3期：梳理各部门数据开放清单，建立数据开放大数据分析系统，依据年度开放计划，陆续开放经济、信用、交通、医疗、卫生等20余个民生领域的政府数据集。到2020年，政府数据开放平台全面建成，提供政府数据服务。</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重要公共服务与政府治理服务平台</w:t>
            </w: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政府权力清单运行平台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建设统一身份认证系统，网上权力运行办事平台，法制监督平台和电子监察平台。第2、3期：建设政府“3+2”清单目录体系，包括“3+2”清单目录与政府权力运行平台、涉企收费监管平台的整合应用，提供网上政府清单整体服务。到2020年，建成省市县三级联动的政府权力清单运行平台应用。</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公共资源交易监管平台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基于市政务云平台的市级公共资源交易监管平台，包括对接省级公共资源交易监管平台。第2、3期：县级公共资源交易平台建设，包括省市县互联互通。到2020年，基本实现全市公共资源交易服务标准化、监管智能化、统计实时化、分析动态化。</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市公管局</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公共信用信息共享平台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基于市政务云平台的市级公共信用信息共享平台建设，推动六安市各级各部门间的信用信息共享、业务协同监管和社会化公共服务，出台相关管理服务办法。第2、3期：继续推行六安市各级各部门间的信用信息共享，并实现与涉税信息交换平台互联互通。到2020年，基本建成覆盖全市的征信体系，信用监管机制基本健全，信用服务市场体系基本完善。</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涉企收费监管平台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基于市政务云平台的市级涉企收费监管平台，并对接市公共信用信息共享平台，出台相关管理服务办法。第2、3期：县区级涉税信息交换平台建设，市县两级平台互联互通。到2020年，实现市域内所有涉税企业收费项目进入平台监管。</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政府决策支持服务平台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基于省政务云，建设市级政府决策支持服务平台，提供宏观调控决策支持、风险预警和执行监督等应用功能。第2、3期：根据市情，选择金融、税收、审计、统计、农业、规划、消费、投资、进出口、城乡建设、劳动就业、收入分配、电力及产业运行、质量安全、节能减排等若干领域进行试点应用分析。到2020年，省市县政府联动决策支持服务平台开通运行。</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政府应急管理平台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按照国家和省的要求，完成全市应急平台体系规划设计，完成市有关专业应急平台建设。第2、3期：完成县（区）、乡镇政府综合应急平台，提供突发事件监测监控、预警预测、信息报告、综合研判、辅助决策、指挥调度和总结评估等功能。2020年，完成互联互通、资源共享、指挥统一、运转高效、管理有序、保障有力的全市应急平台体系建设。</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市政府应急办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政府重点工作督查管理平台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基于省政务云平台，完成市级政府重点工作督查管理平台，提供全过程动态跟踪、实时督查、及时反馈、绩效考核等功能。第2、3期：完成县（区）平台建设，完成市县区平台联动服务。到2020年，全面建成市县区重点工作督查管理联动服务平台。</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市政府办公室</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重点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电子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政务</w:t>
            </w: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社会服务管理信息化工程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已于2016年完成。2期：社管平台一期推广项目，信息资源中心扩展项目，智慧城市综合服务门户项目、综治视联网平台、公共法律服务信息化平台建设。3期：完成大数据分析平台建设。到2020年，建成六安市“信息化支撑、网格化管理、社会化服务、多元化参与”的社会服务管理新模式。</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平台全面推广应用实施</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市电子政务管理办、市公安局、市民政局、市人社局、市卫计委等。</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重要产品追溯信息化工程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3期工程建设。1期：基于省政务云平台，完成市级重要产品追溯信息化平台总体规划设计。第2、3期：选择我省农产品质量安全、食品安全、农业生产资料、特种设备和危险品等若干重要产品追溯管理系统，建设六安市重要产品追溯信息系统。到2020年，六安市若干重要领域重要产品追溯数据实现有关部门、地区和企业追溯信息互通共享。</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3期工程的项目推广实施和项目绩效评估。</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市食药安监局、市农委</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生态环境监测网络工程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2期工程建设。1期：按照国家和省环保部门的工作部署，梳理环境质量数据开放清单目录，完成六安市生态环境大数据库建设。2期：部署大数据分析工具，完成“互联网+”绿色生态大数据分析平台建设。到2020年，基本实现全市环境质量监测现代化。</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市环保局</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政府协同办公系统升级工程</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2期工程建设。1期：市协同办公系统升级，健全完善督查督办、政务信息、移动办公等系统功能。2期：完成与政府决策支持、政府应急管理、重点工作督查管理等政府治理平台接入应用。到2020年，建成市政府综合决策办公服务平台。</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市政府办公室</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15" w:type="dxa"/>
            <w:left w:w="15" w:type="dxa"/>
            <w:bottom w:w="15" w:type="dxa"/>
            <w:right w:w="15" w:type="dxa"/>
          </w:tblCellMar>
        </w:tblPrEx>
        <w:trPr>
          <w:trHeight w:val="330" w:hRule="atLeast"/>
        </w:trPr>
        <w:tc>
          <w:tcPr>
            <w:tcW w:w="75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联网+政务服务”体系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建设</w:t>
            </w: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六安市人民政府网站（智慧版）</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2期工程建设。1期：完成六安市人民政府网站扁平化功能规划设计，以及“政府信息公开”、“网上办事大厅”、“政民互动”、“数据开放”等四大核心服务平台在内的，统一界面UI规划设计标准化框架与平台接口规范设计，在线服务资源目录体系与元数据规范，智能搜索引擎技术规范。2期：基于门户规划框架，完成门户扁平化功能服务架构和四大核心服务平台服务集成，引入用户行为分析、核心栏目访问量统计分析、开放数据库分析、在线感知用户体验、智能推送、智能问答等组件，通过机器学习、用户行为分析，网站自身可以自动进化、自我完善，使其提供的服务越来越具有智慧。到2018年，具有智慧化服务功能的六安市人民政府网站开通运营。</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市政务公开办、市政务服务中心</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网上办事整体服务大厅架构（“互联网+政务服务”平台）</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2期工程建设。1期：按照国家“互联网+政务服务”体系标准，完成证照资料梳理和电子证照库建设，完成与制证系统和业务系统的对接。2期：完成统一身份认证体系和政务服务综合管理系统建设，支持网上办事整体服务大厅服务架构功能实现。到2017年底，初步实现政务服务“单点登录、一网通办”；到2018年底，基本公共服务事项可在网上申请办理。</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2期工程的项目可行性研究，项目建设实施和项目绩效评估。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市政务服务中心</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“我的六安”公共服务移动门户</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分4期工程建设。1期：六安市公共服务手机客户端应用平台（移动门户）开发，建立公众微信号——“我的六安”。2、3、4期：根据公众需求和梳理整合政府相关部门和公共事业单位的相关服务资源和权威信息情况，分阶段开展“我的六安”移动门户应用推广，逐步丰富本地化移动公共服务信息。到2019年，“我的六安”移动门户全面运营。</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1期工程的项目可行性研究，项目建设实施和项目绩效评估。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2期工程的项目推广应用和项目绩效评估。</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3期工程的项目推广应用和项目绩效评估。</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4期工程的项目推广应用和项目绩效评估。</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restart"/>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管理制度政策保障体系</w:t>
            </w: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六安市政务信息资源共享管理办法</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参照国务院印发《政务信息资源共享管理暂行办法》，编制《六安市政务信息资源共享管理办法》。</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2017年底发布实施</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市政府办公室</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六安市电子政务项目管理办法</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参照《国家电子政务工程建设项目管理暂行办法》，编制《六安市电子政务项目管理办法》。</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2016年底已完成，2017年贯彻落实。</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市政府办公室</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六安市电子政务绩效评估管理办法</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参照《广州市电子政务绩效评估管理办法》，编制《六安市电子政务绩效评估管理办法》。</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2017年底发布实施</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市政府办公室</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Ex>
        <w:trPr>
          <w:trHeight w:val="330" w:hRule="atLeast"/>
        </w:trPr>
        <w:tc>
          <w:tcPr>
            <w:tcW w:w="750" w:type="dxa"/>
            <w:vMerge w:val="continue"/>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rPr>
                <w:rFonts w:hint="eastAsia" w:ascii="微软雅黑" w:hAnsi="微软雅黑" w:eastAsia="微软雅黑" w:cs="微软雅黑"/>
                <w:b w:val="0"/>
                <w:i w:val="0"/>
                <w:caps w:val="0"/>
                <w:color w:val="333333"/>
                <w:spacing w:val="0"/>
                <w:sz w:val="21"/>
                <w:szCs w:val="21"/>
              </w:rPr>
            </w:pPr>
          </w:p>
        </w:tc>
        <w:tc>
          <w:tcPr>
            <w:tcW w:w="150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六安市政府数据开放管理办法</w:t>
            </w:r>
          </w:p>
        </w:tc>
        <w:tc>
          <w:tcPr>
            <w:tcW w:w="384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参照国家有关政府数据开放等文件精神，编制《六安市政府数据开放管理办法》。</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2017年底发布实施</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17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2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c>
          <w:tcPr>
            <w:tcW w:w="1335"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市政府办公室</w:t>
            </w:r>
          </w:p>
        </w:tc>
        <w:tc>
          <w:tcPr>
            <w:tcW w:w="12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市电子政务管理办</w:t>
            </w:r>
          </w:p>
        </w:tc>
        <w:tc>
          <w:tcPr>
            <w:tcW w:w="960" w:type="dxa"/>
            <w:tcBorders>
              <w:top w:val="single" w:color="333333" w:sz="6" w:space="0"/>
              <w:left w:val="single" w:color="333333" w:sz="6" w:space="0"/>
              <w:bottom w:val="single" w:color="333333" w:sz="6" w:space="0"/>
              <w:right w:val="single" w:color="333333" w:sz="6" w:space="0"/>
            </w:tcBorders>
            <w:shd w:val="clear" w:color="auto" w:fill="FFFFFF"/>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微软雅黑" w:hAnsi="微软雅黑" w:eastAsia="微软雅黑" w:cs="微软雅黑"/>
                <w:b w:val="0"/>
                <w:i w:val="0"/>
                <w:caps w:val="0"/>
                <w:color w:val="333333"/>
                <w:spacing w:val="0"/>
                <w:sz w:val="21"/>
                <w:szCs w:val="21"/>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p>
    <w:p>
      <w:pPr>
        <w:tabs>
          <w:tab w:val="left" w:pos="2826"/>
        </w:tabs>
        <w:rPr>
          <w:rFonts w:hint="eastAsia" w:eastAsiaTheme="minor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882489"/>
    <w:rsid w:val="21747FD5"/>
    <w:rsid w:val="27111BD1"/>
    <w:rsid w:val="2BE85111"/>
    <w:rsid w:val="352A5F30"/>
    <w:rsid w:val="3D050A9F"/>
    <w:rsid w:val="49C8420D"/>
    <w:rsid w:val="595B0097"/>
    <w:rsid w:val="69C8128C"/>
    <w:rsid w:val="719E6A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2018-04-03T00:49:12Z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