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300" w:beforeAutospacing="0" w:after="150" w:afterAutospacing="0" w:line="17" w:lineRule="atLeast"/>
        <w:rPr>
          <w:sz w:val="45"/>
          <w:szCs w:val="45"/>
        </w:rPr>
      </w:pPr>
      <w:bookmarkStart w:id="0" w:name="_Toc30966"/>
      <w:r>
        <w:rPr>
          <w:rFonts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u w:val="none"/>
        </w:rPr>
        <w:t>附表</w:t>
      </w:r>
      <w:bookmarkEnd w:id="0"/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</w:rPr>
        <w:t>1</w:t>
      </w:r>
      <w:r>
        <w:rPr>
          <w:rFonts w:hint="default" w:ascii="方正黑体_GBK" w:hAnsi="方正黑体_GBK" w:eastAsia="方正黑体_GBK" w:cs="方正黑体_GBK"/>
          <w:i w:val="0"/>
          <w:caps w:val="0"/>
          <w:color w:val="333333"/>
          <w:spacing w:val="0"/>
          <w:sz w:val="32"/>
          <w:szCs w:val="32"/>
        </w:rPr>
        <w:t>：西双版纳州“十二五”信息化基本情况表</w:t>
      </w:r>
    </w:p>
    <w:tbl>
      <w:tblPr>
        <w:tblStyle w:val="5"/>
        <w:tblW w:w="9532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42"/>
        <w:gridCol w:w="3087"/>
        <w:gridCol w:w="32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8" w:hRule="atLeast"/>
        </w:trPr>
        <w:tc>
          <w:tcPr>
            <w:tcW w:w="3242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kern w:val="0"/>
                <w:sz w:val="26"/>
                <w:szCs w:val="26"/>
                <w:lang w:val="en-US" w:eastAsia="zh-CN" w:bidi="ar"/>
              </w:rPr>
              <w:t>              数值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6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kern w:val="0"/>
                <w:sz w:val="26"/>
                <w:szCs w:val="26"/>
                <w:lang w:val="en-US" w:eastAsia="zh-CN" w:bidi="ar"/>
              </w:rPr>
              <w:t>指标</w:t>
            </w:r>
          </w:p>
        </w:tc>
        <w:tc>
          <w:tcPr>
            <w:tcW w:w="3087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6"/>
                <w:szCs w:val="26"/>
                <w:lang w:val="en-US" w:eastAsia="zh-CN" w:bidi="ar"/>
              </w:rPr>
              <w:t>2010</w:t>
            </w:r>
            <w:r>
              <w:rPr>
                <w:rFonts w:hint="default" w:ascii="方正黑体_GBK" w:hAnsi="方正黑体_GBK" w:eastAsia="方正黑体_GBK" w:cs="方正黑体_GBK"/>
                <w:kern w:val="0"/>
                <w:sz w:val="26"/>
                <w:szCs w:val="26"/>
                <w:lang w:val="en-US" w:eastAsia="zh-CN" w:bidi="ar"/>
              </w:rPr>
              <w:t>年</w:t>
            </w:r>
          </w:p>
        </w:tc>
        <w:tc>
          <w:tcPr>
            <w:tcW w:w="3203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6"/>
                <w:szCs w:val="26"/>
                <w:lang w:val="en-US" w:eastAsia="zh-CN" w:bidi="ar"/>
              </w:rPr>
              <w:t>2015</w:t>
            </w:r>
            <w:r>
              <w:rPr>
                <w:rFonts w:hint="default" w:ascii="方正黑体_GBK" w:hAnsi="方正黑体_GBK" w:eastAsia="方正黑体_GBK" w:cs="方正黑体_GBK"/>
                <w:kern w:val="0"/>
                <w:sz w:val="26"/>
                <w:szCs w:val="26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3242" w:type="dxa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全州固定电话用户数</w:t>
            </w:r>
          </w:p>
        </w:tc>
        <w:tc>
          <w:tcPr>
            <w:tcW w:w="308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22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9万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户</w:t>
            </w:r>
          </w:p>
        </w:tc>
        <w:tc>
          <w:tcPr>
            <w:tcW w:w="3203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13.95万户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3242" w:type="dxa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全州移动电话用户数</w:t>
            </w:r>
          </w:p>
        </w:tc>
        <w:tc>
          <w:tcPr>
            <w:tcW w:w="308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82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7万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户</w:t>
            </w:r>
          </w:p>
        </w:tc>
        <w:tc>
          <w:tcPr>
            <w:tcW w:w="3203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92.41万户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3242" w:type="dxa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全州固定电话普及率</w:t>
            </w:r>
          </w:p>
        </w:tc>
        <w:tc>
          <w:tcPr>
            <w:tcW w:w="308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20.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08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部/百人</w:t>
            </w:r>
          </w:p>
        </w:tc>
        <w:tc>
          <w:tcPr>
            <w:tcW w:w="3203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11.98部/百人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3242" w:type="dxa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全州移动电话普及率</w:t>
            </w:r>
          </w:p>
        </w:tc>
        <w:tc>
          <w:tcPr>
            <w:tcW w:w="308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72.50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部/百人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203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79.39部/百人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3242" w:type="dxa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4"/>
                <w:szCs w:val="24"/>
                <w:lang w:val="en-US" w:eastAsia="zh-CN" w:bidi="ar"/>
              </w:rPr>
              <w:t>长途光缆线路</w:t>
            </w:r>
          </w:p>
        </w:tc>
        <w:tc>
          <w:tcPr>
            <w:tcW w:w="308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1.5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万皮长公里</w:t>
            </w:r>
          </w:p>
        </w:tc>
        <w:tc>
          <w:tcPr>
            <w:tcW w:w="3203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28.87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万芯公里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3242" w:type="dxa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4"/>
                <w:szCs w:val="24"/>
                <w:lang w:val="en-US" w:eastAsia="zh-CN" w:bidi="ar"/>
              </w:rPr>
              <w:t>本地光缆纤芯长度</w:t>
            </w:r>
          </w:p>
        </w:tc>
        <w:tc>
          <w:tcPr>
            <w:tcW w:w="308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31.71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万芯公里</w:t>
            </w:r>
          </w:p>
        </w:tc>
        <w:tc>
          <w:tcPr>
            <w:tcW w:w="3203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59.9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万芯公里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3242" w:type="dxa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4"/>
                <w:szCs w:val="24"/>
                <w:lang w:val="en-US" w:eastAsia="zh-CN" w:bidi="ar"/>
              </w:rPr>
              <w:t>互联网宽带用户</w:t>
            </w:r>
          </w:p>
        </w:tc>
        <w:tc>
          <w:tcPr>
            <w:tcW w:w="308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7.45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万户</w:t>
            </w:r>
          </w:p>
        </w:tc>
        <w:tc>
          <w:tcPr>
            <w:tcW w:w="3203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27.95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万户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3242" w:type="dxa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4"/>
                <w:szCs w:val="24"/>
                <w:lang w:val="en-US" w:eastAsia="zh-CN" w:bidi="ar"/>
              </w:rPr>
              <w:t>有线数字电视开通情况</w:t>
            </w:r>
          </w:p>
        </w:tc>
        <w:tc>
          <w:tcPr>
            <w:tcW w:w="308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31个乡镇</w:t>
            </w:r>
          </w:p>
        </w:tc>
        <w:tc>
          <w:tcPr>
            <w:tcW w:w="3203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个乡镇 171个村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1" w:hRule="atLeast"/>
        </w:trPr>
        <w:tc>
          <w:tcPr>
            <w:tcW w:w="3242" w:type="dxa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政府网站建设情况</w:t>
            </w:r>
          </w:p>
        </w:tc>
        <w:tc>
          <w:tcPr>
            <w:tcW w:w="308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建设  40 个政府网站</w:t>
            </w:r>
          </w:p>
        </w:tc>
        <w:tc>
          <w:tcPr>
            <w:tcW w:w="3203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建设 52 个政府网站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9" w:hRule="atLeast"/>
        </w:trPr>
        <w:tc>
          <w:tcPr>
            <w:tcW w:w="3242" w:type="dxa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企业信息化</w:t>
            </w:r>
          </w:p>
        </w:tc>
        <w:tc>
          <w:tcPr>
            <w:tcW w:w="308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pacing w:val="-6"/>
                <w:kern w:val="0"/>
                <w:sz w:val="24"/>
                <w:szCs w:val="24"/>
                <w:lang w:val="en-US" w:eastAsia="zh-CN" w:bidi="ar"/>
              </w:rPr>
              <w:t>全州规模以上工业企业</w:t>
            </w: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szCs w:val="24"/>
                <w:lang w:val="en-US" w:eastAsia="zh-CN" w:bidi="ar"/>
              </w:rPr>
              <w:t>100</w:t>
            </w:r>
            <w:r>
              <w:rPr>
                <w:rFonts w:hint="default" w:ascii="Times New Roman" w:hAnsi="Times New Roman" w:cs="Times New Roman" w:eastAsiaTheme="minorEastAsia"/>
                <w:spacing w:val="-6"/>
                <w:kern w:val="0"/>
                <w:sz w:val="24"/>
                <w:szCs w:val="24"/>
                <w:lang w:val="en-US" w:eastAsia="zh-CN" w:bidi="ar"/>
              </w:rPr>
              <w:t>%接入互联网，5%开展计算机设计、生产控制等应用，60%企业开展财务、采购、销售、物资管理信息化应用</w:t>
            </w:r>
          </w:p>
        </w:tc>
        <w:tc>
          <w:tcPr>
            <w:tcW w:w="3203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全州规模以上工业企业的信息化基础指标进一步提高，涌现出一大批开展电子商务的典型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5" w:hRule="atLeast"/>
        </w:trPr>
        <w:tc>
          <w:tcPr>
            <w:tcW w:w="3242" w:type="dxa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4"/>
                <w:szCs w:val="24"/>
                <w:lang w:val="en-US" w:eastAsia="zh-CN" w:bidi="ar"/>
              </w:rPr>
              <w:t>农业信息服务覆盖情况</w:t>
            </w:r>
          </w:p>
        </w:tc>
        <w:tc>
          <w:tcPr>
            <w:tcW w:w="308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覆盖到  32 个乡镇</w:t>
            </w:r>
          </w:p>
        </w:tc>
        <w:tc>
          <w:tcPr>
            <w:tcW w:w="3203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覆盖到  222 个行政村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3242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信息产业产值</w:t>
            </w:r>
          </w:p>
        </w:tc>
        <w:tc>
          <w:tcPr>
            <w:tcW w:w="308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——</w:t>
            </w:r>
          </w:p>
        </w:tc>
        <w:tc>
          <w:tcPr>
            <w:tcW w:w="3203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14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亿元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150" w:afterAutospacing="0" w:line="378" w:lineRule="atLeast"/>
        <w:ind w:left="0" w:right="0"/>
        <w:jc w:val="left"/>
        <w:rPr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150" w:afterAutospacing="0" w:line="378" w:lineRule="atLeast"/>
        <w:ind w:left="0" w:right="0"/>
        <w:jc w:val="left"/>
        <w:rPr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150" w:afterAutospacing="0" w:line="378" w:lineRule="atLeast"/>
        <w:ind w:left="0" w:right="0"/>
        <w:jc w:val="left"/>
      </w:pPr>
      <w:r>
        <w:rPr>
          <w:rFonts w:ascii="方正楷体_GBK" w:hAnsi="方正楷体_GBK" w:eastAsia="方正楷体_GBK" w:cs="方正楷体_GBK"/>
          <w:b w:val="0"/>
          <w:i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  <w:t> </w:t>
      </w:r>
      <w:bookmarkStart w:id="3" w:name="_GoBack"/>
      <w:bookmarkEnd w:id="3"/>
      <w:bookmarkStart w:id="1" w:name="_Toc482180817"/>
      <w:bookmarkEnd w:id="1"/>
      <w:bookmarkStart w:id="2" w:name="_Toc1343"/>
      <w:bookmarkEnd w:id="2"/>
    </w:p>
    <w:p>
      <w:pPr>
        <w:tabs>
          <w:tab w:val="left" w:pos="2826"/>
        </w:tabs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882489"/>
    <w:rsid w:val="21747FD5"/>
    <w:rsid w:val="27111BD1"/>
    <w:rsid w:val="352A5F30"/>
    <w:rsid w:val="3D050A9F"/>
    <w:rsid w:val="595B00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2018-04-02T07:51:19Z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